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7E619">
      <w:pPr>
        <w:pStyle w:val="2"/>
        <w:kinsoku w:val="0"/>
        <w:overflowPunct w:val="0"/>
        <w:spacing w:line="581" w:lineRule="exact"/>
        <w:ind w:firstLine="2544" w:firstLineChars="600"/>
        <w:rPr>
          <w:rFonts w:hint="eastAsia"/>
          <w:sz w:val="44"/>
          <w:szCs w:val="24"/>
        </w:rPr>
      </w:pPr>
      <w:r>
        <w:rPr>
          <w:rFonts w:hint="eastAsia"/>
          <w:spacing w:val="-8"/>
          <w:sz w:val="44"/>
          <w:szCs w:val="24"/>
          <w:lang w:val="en-US" w:eastAsia="zh-CN"/>
        </w:rPr>
        <w:t>2025版苏州市</w:t>
      </w:r>
      <w:r>
        <w:rPr>
          <w:rFonts w:hint="eastAsia"/>
          <w:spacing w:val="-8"/>
          <w:sz w:val="44"/>
          <w:szCs w:val="24"/>
        </w:rPr>
        <w:t>不予实施行政强制措施清单（</w:t>
      </w:r>
      <w:r>
        <w:rPr>
          <w:rFonts w:hint="eastAsia"/>
          <w:spacing w:val="-8"/>
          <w:sz w:val="44"/>
          <w:szCs w:val="24"/>
          <w:lang w:val="en-US" w:eastAsia="zh-CN"/>
        </w:rPr>
        <w:t>22</w:t>
      </w:r>
      <w:bookmarkStart w:id="0" w:name="_GoBack"/>
      <w:bookmarkEnd w:id="0"/>
      <w:r>
        <w:rPr>
          <w:rFonts w:hint="eastAsia"/>
          <w:spacing w:val="-8"/>
          <w:sz w:val="44"/>
          <w:szCs w:val="24"/>
        </w:rPr>
        <w:t>项）</w:t>
      </w:r>
    </w:p>
    <w:p w14:paraId="5676429D">
      <w:pPr>
        <w:rPr>
          <w:rFonts w:hint="default"/>
          <w:sz w:val="24"/>
          <w:szCs w:val="24"/>
        </w:rPr>
      </w:pPr>
    </w:p>
    <w:p w14:paraId="564DFF71">
      <w:pPr>
        <w:rPr>
          <w:rFonts w:hint="default"/>
          <w:sz w:val="24"/>
          <w:szCs w:val="24"/>
        </w:rPr>
      </w:pPr>
    </w:p>
    <w:tbl>
      <w:tblPr>
        <w:tblStyle w:val="7"/>
        <w:tblW w:w="0" w:type="auto"/>
        <w:tblInd w:w="-11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3"/>
        <w:gridCol w:w="2265"/>
        <w:gridCol w:w="3386"/>
        <w:gridCol w:w="5952"/>
        <w:gridCol w:w="1447"/>
        <w:gridCol w:w="488"/>
      </w:tblGrid>
      <w:tr w14:paraId="30E6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exact"/>
        </w:trPr>
        <w:tc>
          <w:tcPr>
            <w:tcW w:w="883" w:type="dxa"/>
            <w:tcBorders>
              <w:top w:val="single" w:color="000000" w:sz="6" w:space="0"/>
              <w:left w:val="single" w:color="000000" w:sz="6" w:space="0"/>
              <w:bottom w:val="single" w:color="000000" w:sz="4" w:space="0"/>
              <w:right w:val="single" w:color="000000" w:sz="4" w:space="0"/>
              <w:tl2br w:val="nil"/>
              <w:tr2bl w:val="nil"/>
            </w:tcBorders>
            <w:noWrap w:val="0"/>
            <w:vAlign w:val="top"/>
          </w:tcPr>
          <w:p w14:paraId="1BC6A0A9">
            <w:pPr>
              <w:pStyle w:val="11"/>
              <w:kinsoku w:val="0"/>
              <w:overflowPunct w:val="0"/>
              <w:spacing w:before="112"/>
              <w:jc w:val="center"/>
              <w:rPr>
                <w:rFonts w:hint="default" w:ascii="仿宋_GB2312" w:hAnsi="Calibri" w:eastAsia="仿宋_GB2312" w:cs="Times New Roman"/>
                <w:b/>
                <w:kern w:val="2"/>
                <w:sz w:val="32"/>
                <w:szCs w:val="32"/>
                <w:lang w:val="en-US" w:eastAsia="zh-CN" w:bidi="ar-SA"/>
              </w:rPr>
            </w:pPr>
            <w:r>
              <w:rPr>
                <w:rFonts w:hint="eastAsia" w:ascii="仿宋_GB2312" w:hAnsi="Calibri" w:eastAsia="仿宋_GB2312" w:cs="Times New Roman"/>
                <w:b/>
                <w:kern w:val="2"/>
                <w:sz w:val="32"/>
                <w:szCs w:val="32"/>
                <w:lang w:val="en-US" w:eastAsia="zh-CN" w:bidi="ar-SA"/>
              </w:rPr>
              <w:t>序号</w:t>
            </w:r>
          </w:p>
        </w:tc>
        <w:tc>
          <w:tcPr>
            <w:tcW w:w="2265" w:type="dxa"/>
            <w:tcBorders>
              <w:top w:val="single" w:color="000000" w:sz="6" w:space="0"/>
              <w:left w:val="single" w:color="000000" w:sz="4" w:space="0"/>
              <w:bottom w:val="single" w:color="000000" w:sz="4" w:space="0"/>
              <w:right w:val="single" w:color="000000" w:sz="4" w:space="0"/>
              <w:tl2br w:val="nil"/>
              <w:tr2bl w:val="nil"/>
            </w:tcBorders>
            <w:noWrap w:val="0"/>
            <w:vAlign w:val="top"/>
          </w:tcPr>
          <w:p w14:paraId="561D54F5">
            <w:pPr>
              <w:pStyle w:val="11"/>
              <w:kinsoku w:val="0"/>
              <w:overflowPunct w:val="0"/>
              <w:spacing w:before="112"/>
              <w:ind w:left="343"/>
              <w:rPr>
                <w:rFonts w:hint="default" w:ascii="仿宋_GB2312" w:hAnsi="Calibri" w:eastAsia="仿宋_GB2312" w:cs="Times New Roman"/>
                <w:b/>
                <w:kern w:val="2"/>
                <w:sz w:val="32"/>
                <w:szCs w:val="32"/>
                <w:lang w:val="en-US" w:eastAsia="zh-CN" w:bidi="ar-SA"/>
              </w:rPr>
            </w:pPr>
            <w:r>
              <w:rPr>
                <w:rFonts w:hint="eastAsia" w:ascii="仿宋_GB2312" w:hAnsi="Calibri" w:eastAsia="仿宋_GB2312" w:cs="Times New Roman"/>
                <w:b/>
                <w:kern w:val="2"/>
                <w:sz w:val="32"/>
                <w:szCs w:val="32"/>
                <w:lang w:val="en-US" w:eastAsia="zh-CN" w:bidi="ar-SA"/>
              </w:rPr>
              <w:t>行政强制措施</w:t>
            </w:r>
          </w:p>
        </w:tc>
        <w:tc>
          <w:tcPr>
            <w:tcW w:w="3386" w:type="dxa"/>
            <w:tcBorders>
              <w:top w:val="single" w:color="000000" w:sz="6" w:space="0"/>
              <w:left w:val="single" w:color="000000" w:sz="4" w:space="0"/>
              <w:bottom w:val="single" w:color="000000" w:sz="4" w:space="0"/>
              <w:right w:val="single" w:color="000000" w:sz="4" w:space="0"/>
              <w:tl2br w:val="nil"/>
              <w:tr2bl w:val="nil"/>
            </w:tcBorders>
            <w:noWrap w:val="0"/>
            <w:vAlign w:val="top"/>
          </w:tcPr>
          <w:p w14:paraId="2F343810">
            <w:pPr>
              <w:pStyle w:val="11"/>
              <w:kinsoku w:val="0"/>
              <w:overflowPunct w:val="0"/>
              <w:spacing w:before="112"/>
              <w:ind w:left="484"/>
              <w:rPr>
                <w:rFonts w:hint="default" w:ascii="仿宋_GB2312" w:hAnsi="Calibri" w:eastAsia="仿宋_GB2312" w:cs="Times New Roman"/>
                <w:b/>
                <w:kern w:val="2"/>
                <w:sz w:val="32"/>
                <w:szCs w:val="32"/>
                <w:lang w:val="en-US" w:eastAsia="zh-CN" w:bidi="ar-SA"/>
              </w:rPr>
            </w:pPr>
            <w:r>
              <w:rPr>
                <w:rFonts w:hint="eastAsia" w:ascii="仿宋_GB2312" w:hAnsi="Calibri" w:eastAsia="仿宋_GB2312" w:cs="Times New Roman"/>
                <w:b/>
                <w:kern w:val="2"/>
                <w:sz w:val="32"/>
                <w:szCs w:val="32"/>
                <w:lang w:val="en-US" w:eastAsia="zh-CN" w:bidi="ar-SA"/>
              </w:rPr>
              <w:t>不予行政强制条件</w:t>
            </w:r>
          </w:p>
        </w:tc>
        <w:tc>
          <w:tcPr>
            <w:tcW w:w="5952" w:type="dxa"/>
            <w:tcBorders>
              <w:top w:val="single" w:color="000000" w:sz="6" w:space="0"/>
              <w:left w:val="single" w:color="000000" w:sz="4" w:space="0"/>
              <w:bottom w:val="single" w:color="000000" w:sz="4" w:space="0"/>
              <w:right w:val="single" w:color="000000" w:sz="4" w:space="0"/>
              <w:tl2br w:val="nil"/>
              <w:tr2bl w:val="nil"/>
            </w:tcBorders>
            <w:noWrap w:val="0"/>
            <w:vAlign w:val="top"/>
          </w:tcPr>
          <w:p w14:paraId="0A79442B">
            <w:pPr>
              <w:pStyle w:val="11"/>
              <w:kinsoku w:val="0"/>
              <w:overflowPunct w:val="0"/>
              <w:spacing w:before="112"/>
              <w:ind w:left="4"/>
              <w:jc w:val="center"/>
              <w:rPr>
                <w:rFonts w:hint="default" w:ascii="仿宋_GB2312" w:hAnsi="Calibri" w:eastAsia="仿宋_GB2312" w:cs="Times New Roman"/>
                <w:b/>
                <w:kern w:val="2"/>
                <w:sz w:val="32"/>
                <w:szCs w:val="32"/>
                <w:lang w:val="en-US" w:eastAsia="zh-CN" w:bidi="ar-SA"/>
              </w:rPr>
            </w:pPr>
            <w:r>
              <w:rPr>
                <w:rFonts w:hint="eastAsia" w:ascii="仿宋_GB2312" w:hAnsi="Calibri" w:eastAsia="仿宋_GB2312" w:cs="Times New Roman"/>
                <w:b/>
                <w:kern w:val="2"/>
                <w:sz w:val="32"/>
                <w:szCs w:val="32"/>
                <w:lang w:val="en-US" w:eastAsia="zh-CN" w:bidi="ar-SA"/>
              </w:rPr>
              <w:t>法 律 依 据</w:t>
            </w:r>
          </w:p>
        </w:tc>
        <w:tc>
          <w:tcPr>
            <w:tcW w:w="1935" w:type="dxa"/>
            <w:gridSpan w:val="2"/>
            <w:tcBorders>
              <w:top w:val="single" w:color="000000" w:sz="6" w:space="0"/>
              <w:left w:val="single" w:color="000000" w:sz="4" w:space="0"/>
              <w:bottom w:val="single" w:color="000000" w:sz="4" w:space="0"/>
              <w:right w:val="single" w:color="000000" w:sz="6" w:space="0"/>
              <w:tl2br w:val="nil"/>
              <w:tr2bl w:val="nil"/>
            </w:tcBorders>
            <w:noWrap w:val="0"/>
            <w:vAlign w:val="top"/>
          </w:tcPr>
          <w:p w14:paraId="37C53D38">
            <w:pPr>
              <w:pStyle w:val="11"/>
              <w:kinsoku w:val="0"/>
              <w:overflowPunct w:val="0"/>
              <w:spacing w:before="112"/>
              <w:jc w:val="center"/>
              <w:rPr>
                <w:rFonts w:hint="default" w:ascii="仿宋_GB2312" w:hAnsi="Calibri" w:eastAsia="仿宋_GB2312" w:cs="Times New Roman"/>
                <w:b/>
                <w:kern w:val="2"/>
                <w:sz w:val="32"/>
                <w:szCs w:val="32"/>
                <w:lang w:val="en-US" w:eastAsia="zh-CN" w:bidi="ar-SA"/>
              </w:rPr>
            </w:pPr>
            <w:r>
              <w:rPr>
                <w:rFonts w:hint="eastAsia" w:ascii="仿宋_GB2312" w:hAnsi="Calibri" w:eastAsia="仿宋_GB2312" w:cs="Times New Roman"/>
                <w:b/>
                <w:kern w:val="2"/>
                <w:sz w:val="32"/>
                <w:szCs w:val="32"/>
                <w:lang w:val="en-US" w:eastAsia="zh-CN" w:bidi="ar-SA"/>
              </w:rPr>
              <w:t>实施主体</w:t>
            </w:r>
          </w:p>
        </w:tc>
      </w:tr>
      <w:tr w14:paraId="25AF8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9" w:hRule="exact"/>
        </w:trPr>
        <w:tc>
          <w:tcPr>
            <w:tcW w:w="883" w:type="dxa"/>
            <w:tcBorders>
              <w:top w:val="single" w:color="000000" w:sz="4" w:space="0"/>
              <w:left w:val="single" w:color="000000" w:sz="6" w:space="0"/>
              <w:bottom w:val="single" w:color="000000" w:sz="4" w:space="0"/>
              <w:right w:val="single" w:color="000000" w:sz="4" w:space="0"/>
              <w:tl2br w:val="nil"/>
              <w:tr2bl w:val="nil"/>
            </w:tcBorders>
            <w:noWrap w:val="0"/>
            <w:vAlign w:val="top"/>
          </w:tcPr>
          <w:p w14:paraId="5E88A321">
            <w:pPr>
              <w:widowControl/>
              <w:numPr>
                <w:ilvl w:val="0"/>
                <w:numId w:val="1"/>
              </w:numPr>
              <w:ind w:left="425" w:leftChars="0" w:hanging="425" w:firstLineChars="0"/>
              <w:jc w:val="left"/>
              <w:rPr>
                <w:rFonts w:hint="default" w:asciiTheme="minorEastAsia" w:hAnsiTheme="minorEastAsia" w:eastAsiaTheme="minorEastAsia" w:cstheme="minorEastAsia"/>
                <w:color w:val="000000"/>
                <w:kern w:val="0"/>
                <w:sz w:val="22"/>
                <w:szCs w:val="22"/>
              </w:rPr>
            </w:pPr>
          </w:p>
        </w:tc>
        <w:tc>
          <w:tcPr>
            <w:tcW w:w="2265"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65734EB">
            <w:pPr>
              <w:widowControl/>
              <w:jc w:val="left"/>
              <w:rPr>
                <w:rFonts w:hint="eastAsia" w:asciiTheme="minorEastAsia" w:hAnsiTheme="minorEastAsia" w:eastAsiaTheme="minorEastAsia" w:cstheme="minorEastAsia"/>
                <w:color w:val="000000"/>
                <w:kern w:val="0"/>
                <w:sz w:val="22"/>
                <w:szCs w:val="22"/>
                <w:lang w:val="en-US" w:eastAsia="zh-CN"/>
              </w:rPr>
            </w:pPr>
          </w:p>
          <w:p w14:paraId="77BC8614">
            <w:pPr>
              <w:widowControl/>
              <w:jc w:val="left"/>
              <w:rPr>
                <w:rFonts w:hint="eastAsia" w:asciiTheme="minorEastAsia" w:hAnsiTheme="minorEastAsia" w:eastAsiaTheme="minorEastAsia" w:cstheme="minorEastAsia"/>
                <w:color w:val="000000"/>
                <w:kern w:val="0"/>
                <w:sz w:val="22"/>
                <w:szCs w:val="22"/>
                <w:lang w:val="en-US" w:eastAsia="zh-CN"/>
              </w:rPr>
            </w:pPr>
          </w:p>
          <w:p w14:paraId="01500FA5">
            <w:pPr>
              <w:widowControl/>
              <w:jc w:val="left"/>
              <w:rPr>
                <w:rFonts w:hint="eastAsia" w:asciiTheme="minorEastAsia" w:hAnsiTheme="minorEastAsia" w:eastAsiaTheme="minorEastAsia" w:cstheme="minorEastAsia"/>
                <w:color w:val="000000"/>
                <w:kern w:val="0"/>
                <w:sz w:val="22"/>
                <w:szCs w:val="22"/>
                <w:lang w:val="en-US" w:eastAsia="zh-CN"/>
              </w:rPr>
            </w:pPr>
          </w:p>
          <w:p w14:paraId="06472B1B">
            <w:pPr>
              <w:widowControl/>
              <w:jc w:val="left"/>
              <w:rPr>
                <w:rFonts w:hint="eastAsia" w:asciiTheme="minorEastAsia" w:hAnsiTheme="minorEastAsia" w:eastAsiaTheme="minorEastAsia" w:cstheme="minorEastAsia"/>
                <w:color w:val="000000"/>
                <w:kern w:val="0"/>
                <w:sz w:val="22"/>
                <w:szCs w:val="22"/>
                <w:lang w:val="en-US" w:eastAsia="zh-CN"/>
              </w:rPr>
            </w:pPr>
          </w:p>
          <w:p w14:paraId="68E108C6">
            <w:pPr>
              <w:widowControl/>
              <w:jc w:val="left"/>
              <w:rPr>
                <w:rFonts w:hint="eastAsia" w:asciiTheme="minorEastAsia" w:hAnsiTheme="minorEastAsia" w:eastAsiaTheme="minorEastAsia" w:cstheme="minorEastAsia"/>
                <w:color w:val="000000"/>
                <w:kern w:val="0"/>
                <w:sz w:val="22"/>
                <w:szCs w:val="22"/>
                <w:lang w:val="en-US" w:eastAsia="zh-CN"/>
              </w:rPr>
            </w:pPr>
          </w:p>
          <w:p w14:paraId="20BA5B4A">
            <w:pPr>
              <w:widowControl/>
              <w:jc w:val="left"/>
              <w:rPr>
                <w:rFonts w:hint="eastAsia" w:asciiTheme="minorEastAsia" w:hAnsiTheme="minorEastAsia" w:eastAsiaTheme="minorEastAsia" w:cstheme="minorEastAsia"/>
                <w:color w:val="000000"/>
                <w:kern w:val="0"/>
                <w:sz w:val="22"/>
                <w:szCs w:val="22"/>
                <w:lang w:val="en-US" w:eastAsia="zh-CN"/>
              </w:rPr>
            </w:pPr>
          </w:p>
          <w:p w14:paraId="72D9887F">
            <w:pPr>
              <w:widowControl/>
              <w:jc w:val="left"/>
              <w:rPr>
                <w:rFonts w:hint="eastAsia" w:asciiTheme="minorEastAsia" w:hAnsiTheme="minorEastAsia" w:eastAsiaTheme="minorEastAsia" w:cstheme="minorEastAsia"/>
                <w:color w:val="000000"/>
                <w:kern w:val="0"/>
                <w:sz w:val="22"/>
                <w:szCs w:val="22"/>
                <w:lang w:val="en-US" w:eastAsia="zh-CN"/>
              </w:rPr>
            </w:pPr>
          </w:p>
          <w:p w14:paraId="41A2DE97">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扣 押 违 反 规 定 生 产、经营、购买的易 制毒化学品</w:t>
            </w:r>
          </w:p>
        </w:tc>
        <w:tc>
          <w:tcPr>
            <w:tcW w:w="338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81FD8F1">
            <w:pPr>
              <w:widowControl/>
              <w:jc w:val="left"/>
              <w:rPr>
                <w:rFonts w:hint="eastAsia" w:asciiTheme="minorEastAsia" w:hAnsiTheme="minorEastAsia" w:eastAsiaTheme="minorEastAsia" w:cstheme="minorEastAsia"/>
                <w:color w:val="000000"/>
                <w:kern w:val="0"/>
                <w:sz w:val="22"/>
                <w:szCs w:val="22"/>
                <w:lang w:val="en-US" w:eastAsia="zh-CN"/>
              </w:rPr>
            </w:pPr>
          </w:p>
          <w:p w14:paraId="71140FB2">
            <w:pPr>
              <w:widowControl/>
              <w:jc w:val="left"/>
              <w:rPr>
                <w:rFonts w:hint="eastAsia" w:asciiTheme="minorEastAsia" w:hAnsiTheme="minorEastAsia" w:eastAsiaTheme="minorEastAsia" w:cstheme="minorEastAsia"/>
                <w:color w:val="000000"/>
                <w:kern w:val="0"/>
                <w:sz w:val="22"/>
                <w:szCs w:val="22"/>
                <w:lang w:val="en-US" w:eastAsia="zh-CN"/>
              </w:rPr>
            </w:pPr>
          </w:p>
          <w:p w14:paraId="3EBA7B68">
            <w:pPr>
              <w:widowControl/>
              <w:jc w:val="left"/>
              <w:rPr>
                <w:rFonts w:hint="eastAsia" w:asciiTheme="minorEastAsia" w:hAnsiTheme="minorEastAsia" w:eastAsiaTheme="minorEastAsia" w:cstheme="minorEastAsia"/>
                <w:color w:val="000000"/>
                <w:kern w:val="0"/>
                <w:sz w:val="22"/>
                <w:szCs w:val="22"/>
                <w:lang w:val="en-US" w:eastAsia="zh-CN"/>
              </w:rPr>
            </w:pPr>
          </w:p>
          <w:p w14:paraId="0573DFEA">
            <w:pPr>
              <w:widowControl/>
              <w:jc w:val="left"/>
              <w:rPr>
                <w:rFonts w:hint="eastAsia" w:asciiTheme="minorEastAsia" w:hAnsiTheme="minorEastAsia" w:eastAsiaTheme="minorEastAsia" w:cstheme="minorEastAsia"/>
                <w:color w:val="000000"/>
                <w:kern w:val="0"/>
                <w:sz w:val="22"/>
                <w:szCs w:val="22"/>
                <w:lang w:val="en-US" w:eastAsia="zh-CN"/>
              </w:rPr>
            </w:pPr>
          </w:p>
          <w:p w14:paraId="4D4E0E58">
            <w:pPr>
              <w:widowControl/>
              <w:jc w:val="left"/>
              <w:rPr>
                <w:rFonts w:hint="eastAsia" w:asciiTheme="minorEastAsia" w:hAnsiTheme="minorEastAsia" w:eastAsiaTheme="minorEastAsia" w:cstheme="minorEastAsia"/>
                <w:color w:val="000000"/>
                <w:kern w:val="0"/>
                <w:sz w:val="22"/>
                <w:szCs w:val="22"/>
                <w:lang w:val="en-US" w:eastAsia="zh-CN"/>
              </w:rPr>
            </w:pPr>
          </w:p>
          <w:p w14:paraId="5EC75CE9">
            <w:pPr>
              <w:widowControl/>
              <w:jc w:val="left"/>
              <w:rPr>
                <w:rFonts w:hint="eastAsia" w:asciiTheme="minorEastAsia" w:hAnsiTheme="minorEastAsia" w:eastAsiaTheme="minorEastAsia" w:cstheme="minorEastAsia"/>
                <w:color w:val="000000"/>
                <w:kern w:val="0"/>
                <w:sz w:val="22"/>
                <w:szCs w:val="22"/>
                <w:lang w:val="en-US" w:eastAsia="zh-CN"/>
              </w:rPr>
            </w:pPr>
          </w:p>
          <w:p w14:paraId="564F6AF5">
            <w:pPr>
              <w:widowControl/>
              <w:jc w:val="left"/>
              <w:rPr>
                <w:rFonts w:hint="eastAsia" w:asciiTheme="minorEastAsia" w:hAnsiTheme="minorEastAsia" w:eastAsiaTheme="minorEastAsia" w:cstheme="minorEastAsia"/>
                <w:color w:val="000000"/>
                <w:kern w:val="0"/>
                <w:sz w:val="22"/>
                <w:szCs w:val="22"/>
                <w:lang w:val="en-US" w:eastAsia="zh-CN"/>
              </w:rPr>
            </w:pPr>
          </w:p>
          <w:p w14:paraId="455B5D2E">
            <w:pPr>
              <w:widowControl/>
              <w:jc w:val="left"/>
              <w:rPr>
                <w:rFonts w:hint="eastAsia" w:asciiTheme="minorEastAsia" w:hAnsiTheme="minorEastAsia" w:eastAsiaTheme="minorEastAsia" w:cstheme="minorEastAsia"/>
                <w:color w:val="000000"/>
                <w:kern w:val="0"/>
                <w:sz w:val="22"/>
                <w:szCs w:val="22"/>
                <w:lang w:val="en-US" w:eastAsia="zh-CN"/>
              </w:rPr>
            </w:pPr>
          </w:p>
          <w:p w14:paraId="0AB6BAC6">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初次违反，出于企业生产经 营需要，社会危害性较小</w:t>
            </w:r>
          </w:p>
        </w:tc>
        <w:tc>
          <w:tcPr>
            <w:tcW w:w="595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A9F4B8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《易制毒化学品管理条例》</w:t>
            </w:r>
          </w:p>
          <w:p w14:paraId="0762B20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第三十二条 县级以上人民政府公安机关、食品药品监督管理部门、 安全生产监督管理部门、商务主管部门、卫生主管部门、价格主管部门、 铁路主管部门、交通主管部门、工商行政管理部门、环境保护主管部门和 海关,应当依照本条例和有关法律、行政法规的规定,在各自的职责范围 内,加强对易制毒化学品生产、经营、购买、运输、价格以及进口、出口 的监督检查；对非法生产、经营、购买、运输易制毒化学品,或者走私易 制毒化学品的行为,依法予以查处。</w:t>
            </w:r>
          </w:p>
          <w:p w14:paraId="2D1B39D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前款规定的行政主管部门在进行易制毒化学品监督检查时,可以依法 查看现场、查阅和复制有关资料、记录有关情况、扣押相关的证据材料和 违法物品；必要时,可以临时查封有关场所。</w:t>
            </w:r>
          </w:p>
          <w:p w14:paraId="1A640DD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被检查的单位或者个人应当如实提供有关情况和材料、物品,不得拒 绝或者隐匿。</w:t>
            </w:r>
          </w:p>
          <w:p w14:paraId="7968DE75">
            <w:pPr>
              <w:widowControl/>
              <w:jc w:val="left"/>
              <w:rPr>
                <w:rFonts w:hint="default"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lang w:val="en-US" w:eastAsia="zh-CN"/>
              </w:rPr>
              <w:t>第四十条 违反本条例规定,有下列行为之一的,由负有监督管理职责的行政主管部门给予警告，责令限期改正，处 1 万元以上 5 万元以下的罚款；对违反规定生产、经营、购买的易制毒化学品可以予以没收；逾期 不改正的，责令限期停产停业整顿；逾期整顿不合格的，吊销相应的许可证：（四）生产、经营、购买单位不记录或者不如实记录交易情况、不按 规定保存交易记录或者不如实、不及时向公安机关和有关行政主管部门备案销售情况的。</w:t>
            </w:r>
          </w:p>
        </w:tc>
        <w:tc>
          <w:tcPr>
            <w:tcW w:w="1935" w:type="dxa"/>
            <w:gridSpan w:val="2"/>
            <w:tcBorders>
              <w:top w:val="single" w:color="000000" w:sz="4" w:space="0"/>
              <w:left w:val="single" w:color="000000" w:sz="4" w:space="0"/>
              <w:bottom w:val="single" w:color="000000" w:sz="4" w:space="0"/>
              <w:right w:val="single" w:color="000000" w:sz="6" w:space="0"/>
              <w:tl2br w:val="nil"/>
              <w:tr2bl w:val="nil"/>
            </w:tcBorders>
            <w:noWrap w:val="0"/>
            <w:vAlign w:val="top"/>
          </w:tcPr>
          <w:p w14:paraId="1E637781">
            <w:pPr>
              <w:widowControl/>
              <w:jc w:val="left"/>
              <w:rPr>
                <w:rFonts w:hint="eastAsia" w:asciiTheme="minorEastAsia" w:hAnsiTheme="minorEastAsia" w:eastAsiaTheme="minorEastAsia" w:cstheme="minorEastAsia"/>
                <w:color w:val="000000"/>
                <w:kern w:val="0"/>
                <w:sz w:val="22"/>
                <w:szCs w:val="22"/>
                <w:lang w:val="en-US" w:eastAsia="zh-CN"/>
              </w:rPr>
            </w:pPr>
          </w:p>
          <w:p w14:paraId="2CF20C42">
            <w:pPr>
              <w:widowControl/>
              <w:jc w:val="left"/>
              <w:rPr>
                <w:rFonts w:hint="eastAsia" w:asciiTheme="minorEastAsia" w:hAnsiTheme="minorEastAsia" w:eastAsiaTheme="minorEastAsia" w:cstheme="minorEastAsia"/>
                <w:color w:val="000000"/>
                <w:kern w:val="0"/>
                <w:sz w:val="22"/>
                <w:szCs w:val="22"/>
                <w:lang w:val="en-US" w:eastAsia="zh-CN"/>
              </w:rPr>
            </w:pPr>
          </w:p>
          <w:p w14:paraId="14D8CAC3">
            <w:pPr>
              <w:widowControl/>
              <w:jc w:val="left"/>
              <w:rPr>
                <w:rFonts w:hint="eastAsia" w:asciiTheme="minorEastAsia" w:hAnsiTheme="minorEastAsia" w:eastAsiaTheme="minorEastAsia" w:cstheme="minorEastAsia"/>
                <w:color w:val="000000"/>
                <w:kern w:val="0"/>
                <w:sz w:val="22"/>
                <w:szCs w:val="22"/>
                <w:lang w:val="en-US" w:eastAsia="zh-CN"/>
              </w:rPr>
            </w:pPr>
          </w:p>
          <w:p w14:paraId="3DF96D04">
            <w:pPr>
              <w:widowControl/>
              <w:jc w:val="left"/>
              <w:rPr>
                <w:rFonts w:hint="eastAsia" w:asciiTheme="minorEastAsia" w:hAnsiTheme="minorEastAsia" w:eastAsiaTheme="minorEastAsia" w:cstheme="minorEastAsia"/>
                <w:color w:val="000000"/>
                <w:kern w:val="0"/>
                <w:sz w:val="22"/>
                <w:szCs w:val="22"/>
                <w:lang w:val="en-US" w:eastAsia="zh-CN"/>
              </w:rPr>
            </w:pPr>
          </w:p>
          <w:p w14:paraId="3067489F">
            <w:pPr>
              <w:widowControl/>
              <w:jc w:val="left"/>
              <w:rPr>
                <w:rFonts w:hint="eastAsia" w:asciiTheme="minorEastAsia" w:hAnsiTheme="minorEastAsia" w:eastAsiaTheme="minorEastAsia" w:cstheme="minorEastAsia"/>
                <w:color w:val="000000"/>
                <w:kern w:val="0"/>
                <w:sz w:val="22"/>
                <w:szCs w:val="22"/>
                <w:lang w:val="en-US" w:eastAsia="zh-CN"/>
              </w:rPr>
            </w:pPr>
          </w:p>
          <w:p w14:paraId="07D399DB">
            <w:pPr>
              <w:widowControl/>
              <w:jc w:val="left"/>
              <w:rPr>
                <w:rFonts w:hint="eastAsia" w:asciiTheme="minorEastAsia" w:hAnsiTheme="minorEastAsia" w:eastAsiaTheme="minorEastAsia" w:cstheme="minorEastAsia"/>
                <w:color w:val="000000"/>
                <w:kern w:val="0"/>
                <w:sz w:val="22"/>
                <w:szCs w:val="22"/>
                <w:lang w:val="en-US" w:eastAsia="zh-CN"/>
              </w:rPr>
            </w:pPr>
          </w:p>
          <w:p w14:paraId="75DD72D5">
            <w:pPr>
              <w:widowControl/>
              <w:jc w:val="left"/>
              <w:rPr>
                <w:rFonts w:hint="eastAsia" w:asciiTheme="minorEastAsia" w:hAnsiTheme="minorEastAsia" w:eastAsiaTheme="minorEastAsia" w:cstheme="minorEastAsia"/>
                <w:color w:val="000000"/>
                <w:kern w:val="0"/>
                <w:sz w:val="22"/>
                <w:szCs w:val="22"/>
                <w:lang w:val="en-US" w:eastAsia="zh-CN"/>
              </w:rPr>
            </w:pPr>
          </w:p>
          <w:p w14:paraId="006405D1">
            <w:pPr>
              <w:widowControl/>
              <w:jc w:val="left"/>
              <w:rPr>
                <w:rFonts w:hint="eastAsia" w:asciiTheme="minorEastAsia" w:hAnsiTheme="minorEastAsia" w:eastAsiaTheme="minorEastAsia" w:cstheme="minorEastAsia"/>
                <w:color w:val="000000"/>
                <w:kern w:val="0"/>
                <w:sz w:val="22"/>
                <w:szCs w:val="22"/>
                <w:lang w:val="en-US" w:eastAsia="zh-CN"/>
              </w:rPr>
            </w:pPr>
          </w:p>
          <w:p w14:paraId="3106D4FF">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公安机关</w:t>
            </w:r>
          </w:p>
        </w:tc>
      </w:tr>
      <w:tr w14:paraId="0DAFE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5" w:hRule="exact"/>
        </w:trPr>
        <w:tc>
          <w:tcPr>
            <w:tcW w:w="883" w:type="dxa"/>
            <w:tcBorders>
              <w:top w:val="single" w:color="000000" w:sz="4" w:space="0"/>
              <w:left w:val="single" w:color="000000" w:sz="6" w:space="0"/>
              <w:right w:val="single" w:color="000000" w:sz="4" w:space="0"/>
              <w:tl2br w:val="nil"/>
              <w:tr2bl w:val="nil"/>
            </w:tcBorders>
            <w:noWrap w:val="0"/>
            <w:vAlign w:val="center"/>
          </w:tcPr>
          <w:p w14:paraId="680E0548">
            <w:pPr>
              <w:widowControl/>
              <w:numPr>
                <w:ilvl w:val="0"/>
                <w:numId w:val="1"/>
              </w:numPr>
              <w:ind w:left="425" w:leftChars="0" w:hanging="425" w:firstLineChars="0"/>
              <w:jc w:val="left"/>
              <w:rPr>
                <w:rFonts w:hint="default" w:asciiTheme="minorEastAsia" w:hAnsiTheme="minorEastAsia" w:eastAsiaTheme="minorEastAsia" w:cstheme="minorEastAsia"/>
                <w:color w:val="000000"/>
                <w:kern w:val="0"/>
                <w:sz w:val="22"/>
                <w:szCs w:val="22"/>
              </w:rPr>
            </w:pPr>
          </w:p>
        </w:tc>
        <w:tc>
          <w:tcPr>
            <w:tcW w:w="2265" w:type="dxa"/>
            <w:tcBorders>
              <w:top w:val="single" w:color="000000" w:sz="4" w:space="0"/>
              <w:left w:val="single" w:color="000000" w:sz="4" w:space="0"/>
              <w:right w:val="single" w:color="000000" w:sz="4" w:space="0"/>
              <w:tl2br w:val="nil"/>
              <w:tr2bl w:val="nil"/>
            </w:tcBorders>
            <w:noWrap w:val="0"/>
            <w:vAlign w:val="center"/>
          </w:tcPr>
          <w:p w14:paraId="6A8C85B4">
            <w:pPr>
              <w:widowControl/>
              <w:jc w:val="left"/>
              <w:rPr>
                <w:rFonts w:hint="eastAsia" w:asciiTheme="minorEastAsia" w:hAnsiTheme="minorEastAsia" w:eastAsiaTheme="minorEastAsia" w:cstheme="minorEastAsia"/>
                <w:color w:val="000000"/>
                <w:kern w:val="0"/>
                <w:sz w:val="22"/>
                <w:szCs w:val="22"/>
                <w:lang w:val="en-US" w:eastAsia="zh-CN"/>
              </w:rPr>
            </w:pPr>
          </w:p>
          <w:p w14:paraId="1F968C47">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扣押未按规定报 告年度经销、库存情 况的易制毒化学品</w:t>
            </w:r>
          </w:p>
        </w:tc>
        <w:tc>
          <w:tcPr>
            <w:tcW w:w="3386" w:type="dxa"/>
            <w:tcBorders>
              <w:top w:val="single" w:color="000000" w:sz="4" w:space="0"/>
              <w:left w:val="single" w:color="000000" w:sz="4" w:space="0"/>
              <w:right w:val="single" w:color="000000" w:sz="4" w:space="0"/>
              <w:tl2br w:val="nil"/>
              <w:tr2bl w:val="nil"/>
            </w:tcBorders>
            <w:noWrap w:val="0"/>
            <w:vAlign w:val="center"/>
          </w:tcPr>
          <w:p w14:paraId="5842D83F">
            <w:pPr>
              <w:widowControl/>
              <w:jc w:val="left"/>
              <w:rPr>
                <w:rFonts w:hint="eastAsia" w:asciiTheme="minorEastAsia" w:hAnsiTheme="minorEastAsia" w:eastAsiaTheme="minorEastAsia" w:cstheme="minorEastAsia"/>
                <w:color w:val="000000"/>
                <w:kern w:val="0"/>
                <w:sz w:val="22"/>
                <w:szCs w:val="22"/>
                <w:lang w:val="en-US" w:eastAsia="zh-CN"/>
              </w:rPr>
            </w:pPr>
          </w:p>
          <w:p w14:paraId="1C3E31D9">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初次违反，出于企业生产经 营需要，社会危害性较小</w:t>
            </w:r>
          </w:p>
        </w:tc>
        <w:tc>
          <w:tcPr>
            <w:tcW w:w="5952" w:type="dxa"/>
            <w:tcBorders>
              <w:top w:val="single" w:color="000000" w:sz="4" w:space="0"/>
              <w:left w:val="single" w:color="000000" w:sz="4" w:space="0"/>
              <w:right w:val="single" w:color="000000" w:sz="4" w:space="0"/>
              <w:tl2br w:val="nil"/>
              <w:tr2bl w:val="nil"/>
            </w:tcBorders>
            <w:noWrap w:val="0"/>
            <w:vAlign w:val="top"/>
          </w:tcPr>
          <w:p w14:paraId="625F1F19">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《易制毒化学品管理条例》</w:t>
            </w:r>
          </w:p>
          <w:p w14:paraId="2A3B653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第三十二条 县级以上人民政府公安机关、食品药品监督管理部门、 安全生产监督管理部门、商务主管部门、卫生主管部门、价格主管部门、 铁路主管部门、交通主管部门、工商行政管理部门、环境保护主管部门和 海关,应当依照本条例和有关法律、行政法规的规定,在各自的职责范围内,加强对易制毒化学品生产、经营、购买、运输、价格以及进口、出口的监督检查；对非法生产、经营、购买、运输易制毒化学品,或者走私易 制毒化学品的行为,依法予以查处。</w:t>
            </w:r>
          </w:p>
          <w:p w14:paraId="4B05BA31">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xml:space="preserve">前款规定的行政主管部门在进行易制毒化学品监督检查时,可以依法 查看现场、查阅和复制有关资料、记录有关情况、扣押相关的证据材料和违法物品；必要时,可以临时查封有关场所。 </w:t>
            </w:r>
          </w:p>
          <w:p w14:paraId="2BB2846D">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被检查的单位或者个人应当如实提供有关情况和材料、物品,不得拒绝或者隐匿。</w:t>
            </w:r>
          </w:p>
          <w:p w14:paraId="163F574A">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第四十条 违反本条例规定,有下列行为之一的,由负有监督管理职责的行政主管部门给予警告，责令限期改正，处 1 万元以上 5 万元以下的 罚款；对违反规定生产、经营、购买的易制毒化学品可以予以没收；逾期 不改正的，责令限期停产停业整顿；逾期整顿不合格的，吊销相应的许可证：（八）生产、经营易制毒化学品的单位不如实或者不按时向有关行政 主管部门和公安机关报告年度生产、经销和库存等情况的。</w:t>
            </w:r>
          </w:p>
        </w:tc>
        <w:tc>
          <w:tcPr>
            <w:tcW w:w="1935" w:type="dxa"/>
            <w:gridSpan w:val="2"/>
            <w:tcBorders>
              <w:top w:val="single" w:color="000000" w:sz="4" w:space="0"/>
              <w:left w:val="single" w:color="000000" w:sz="4" w:space="0"/>
              <w:bottom w:val="single" w:color="000000" w:sz="4" w:space="0"/>
              <w:right w:val="single" w:color="000000" w:sz="6" w:space="0"/>
              <w:tl2br w:val="nil"/>
              <w:tr2bl w:val="nil"/>
            </w:tcBorders>
            <w:noWrap w:val="0"/>
            <w:vAlign w:val="center"/>
          </w:tcPr>
          <w:p w14:paraId="2909B306">
            <w:pPr>
              <w:widowControl/>
              <w:jc w:val="left"/>
              <w:rPr>
                <w:rFonts w:hint="eastAsia" w:asciiTheme="minorEastAsia" w:hAnsiTheme="minorEastAsia" w:eastAsiaTheme="minorEastAsia" w:cstheme="minorEastAsia"/>
                <w:color w:val="000000"/>
                <w:kern w:val="0"/>
                <w:sz w:val="22"/>
                <w:szCs w:val="22"/>
                <w:lang w:val="en-US" w:eastAsia="zh-CN"/>
              </w:rPr>
            </w:pPr>
          </w:p>
          <w:p w14:paraId="5276118D">
            <w:pPr>
              <w:widowControl/>
              <w:jc w:val="left"/>
              <w:rPr>
                <w:rFonts w:hint="eastAsia" w:asciiTheme="minorEastAsia" w:hAnsiTheme="minorEastAsia" w:eastAsiaTheme="minorEastAsia" w:cstheme="minorEastAsia"/>
                <w:color w:val="000000"/>
                <w:kern w:val="0"/>
                <w:sz w:val="22"/>
                <w:szCs w:val="22"/>
                <w:lang w:val="en-US" w:eastAsia="zh-CN"/>
              </w:rPr>
            </w:pPr>
          </w:p>
          <w:p w14:paraId="72964DD7">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公安机关</w:t>
            </w:r>
          </w:p>
        </w:tc>
      </w:tr>
      <w:tr w14:paraId="75DE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5" w:hRule="exact"/>
        </w:trPr>
        <w:tc>
          <w:tcPr>
            <w:tcW w:w="883" w:type="dxa"/>
            <w:tcBorders>
              <w:top w:val="single" w:color="000000" w:sz="4" w:space="0"/>
              <w:left w:val="single" w:color="000000" w:sz="6" w:space="0"/>
              <w:bottom w:val="single" w:color="000000" w:sz="6" w:space="0"/>
              <w:right w:val="single" w:color="000000" w:sz="4" w:space="0"/>
              <w:tl2br w:val="nil"/>
              <w:tr2bl w:val="nil"/>
            </w:tcBorders>
            <w:noWrap w:val="0"/>
            <w:vAlign w:val="top"/>
          </w:tcPr>
          <w:p w14:paraId="4DDA132C">
            <w:pPr>
              <w:widowControl/>
              <w:numPr>
                <w:ilvl w:val="0"/>
                <w:numId w:val="1"/>
              </w:numPr>
              <w:ind w:left="425" w:leftChars="0" w:hanging="425" w:firstLineChars="0"/>
              <w:jc w:val="left"/>
              <w:rPr>
                <w:rFonts w:hint="default" w:asciiTheme="minorEastAsia" w:hAnsiTheme="minorEastAsia" w:eastAsiaTheme="minorEastAsia" w:cstheme="minorEastAsia"/>
                <w:color w:val="000000"/>
                <w:kern w:val="0"/>
                <w:sz w:val="22"/>
                <w:szCs w:val="22"/>
              </w:rPr>
            </w:pPr>
          </w:p>
        </w:tc>
        <w:tc>
          <w:tcPr>
            <w:tcW w:w="2265" w:type="dxa"/>
            <w:tcBorders>
              <w:top w:val="single" w:color="000000" w:sz="4" w:space="0"/>
              <w:left w:val="single" w:color="000000" w:sz="4" w:space="0"/>
              <w:bottom w:val="single" w:color="000000" w:sz="6" w:space="0"/>
              <w:right w:val="single" w:color="000000" w:sz="4" w:space="0"/>
              <w:tl2br w:val="nil"/>
              <w:tr2bl w:val="nil"/>
            </w:tcBorders>
            <w:noWrap w:val="0"/>
            <w:vAlign w:val="top"/>
          </w:tcPr>
          <w:p w14:paraId="79B0235A">
            <w:pPr>
              <w:widowControl/>
              <w:jc w:val="left"/>
              <w:rPr>
                <w:rFonts w:hint="default" w:asciiTheme="minorEastAsia" w:hAnsiTheme="minorEastAsia" w:eastAsiaTheme="minorEastAsia" w:cstheme="minorEastAsia"/>
                <w:color w:val="000000"/>
                <w:kern w:val="0"/>
                <w:sz w:val="22"/>
                <w:szCs w:val="22"/>
                <w:lang w:val="en-US" w:eastAsia="zh-CN"/>
              </w:rPr>
            </w:pPr>
          </w:p>
          <w:p w14:paraId="0A836613">
            <w:pPr>
              <w:widowControl/>
              <w:jc w:val="left"/>
              <w:rPr>
                <w:rFonts w:hint="default" w:asciiTheme="minorEastAsia" w:hAnsiTheme="minorEastAsia" w:eastAsiaTheme="minorEastAsia" w:cstheme="minorEastAsia"/>
                <w:color w:val="000000"/>
                <w:kern w:val="0"/>
                <w:sz w:val="22"/>
                <w:szCs w:val="22"/>
                <w:lang w:val="en-US" w:eastAsia="zh-CN"/>
              </w:rPr>
            </w:pPr>
          </w:p>
          <w:p w14:paraId="2F9A610B">
            <w:pPr>
              <w:widowControl/>
              <w:jc w:val="left"/>
              <w:rPr>
                <w:rFonts w:hint="default" w:asciiTheme="minorEastAsia" w:hAnsiTheme="minorEastAsia" w:eastAsiaTheme="minorEastAsia" w:cstheme="minorEastAsia"/>
                <w:color w:val="000000"/>
                <w:kern w:val="0"/>
                <w:sz w:val="22"/>
                <w:szCs w:val="22"/>
                <w:lang w:val="en-US" w:eastAsia="zh-CN"/>
              </w:rPr>
            </w:pPr>
          </w:p>
          <w:p w14:paraId="4F026BF4">
            <w:pPr>
              <w:widowControl/>
              <w:jc w:val="left"/>
              <w:rPr>
                <w:rFonts w:hint="default" w:asciiTheme="minorEastAsia" w:hAnsiTheme="minorEastAsia" w:eastAsiaTheme="minorEastAsia" w:cstheme="minorEastAsia"/>
                <w:color w:val="000000"/>
                <w:kern w:val="0"/>
                <w:sz w:val="22"/>
                <w:szCs w:val="22"/>
                <w:lang w:val="en-US" w:eastAsia="zh-CN"/>
              </w:rPr>
            </w:pPr>
          </w:p>
          <w:p w14:paraId="58C7A865">
            <w:pPr>
              <w:widowControl/>
              <w:jc w:val="left"/>
              <w:rPr>
                <w:rFonts w:hint="default" w:asciiTheme="minorEastAsia" w:hAnsiTheme="minorEastAsia" w:eastAsiaTheme="minorEastAsia" w:cstheme="minorEastAsia"/>
                <w:color w:val="000000"/>
                <w:kern w:val="0"/>
                <w:sz w:val="22"/>
                <w:szCs w:val="22"/>
                <w:lang w:val="en-US" w:eastAsia="zh-CN"/>
              </w:rPr>
            </w:pPr>
          </w:p>
          <w:p w14:paraId="13B85027">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扣 押 违 反 规 定 超 出购买许可证或者备案证明品种、数量 销售的易制毒化学品</w:t>
            </w:r>
          </w:p>
        </w:tc>
        <w:tc>
          <w:tcPr>
            <w:tcW w:w="3386" w:type="dxa"/>
            <w:tcBorders>
              <w:top w:val="single" w:color="000000" w:sz="4" w:space="0"/>
              <w:left w:val="single" w:color="000000" w:sz="4" w:space="0"/>
              <w:bottom w:val="single" w:color="000000" w:sz="6" w:space="0"/>
              <w:right w:val="single" w:color="000000" w:sz="4" w:space="0"/>
              <w:tl2br w:val="nil"/>
              <w:tr2bl w:val="nil"/>
            </w:tcBorders>
            <w:noWrap w:val="0"/>
            <w:vAlign w:val="top"/>
          </w:tcPr>
          <w:p w14:paraId="38AAFAAA">
            <w:pPr>
              <w:widowControl/>
              <w:jc w:val="left"/>
              <w:rPr>
                <w:rFonts w:hint="default" w:asciiTheme="minorEastAsia" w:hAnsiTheme="minorEastAsia" w:eastAsiaTheme="minorEastAsia" w:cstheme="minorEastAsia"/>
                <w:color w:val="000000"/>
                <w:kern w:val="0"/>
                <w:sz w:val="22"/>
                <w:szCs w:val="22"/>
                <w:lang w:val="en-US" w:eastAsia="zh-CN"/>
              </w:rPr>
            </w:pPr>
          </w:p>
          <w:p w14:paraId="5ED0CE12">
            <w:pPr>
              <w:widowControl/>
              <w:jc w:val="left"/>
              <w:rPr>
                <w:rFonts w:hint="default" w:asciiTheme="minorEastAsia" w:hAnsiTheme="minorEastAsia" w:eastAsiaTheme="minorEastAsia" w:cstheme="minorEastAsia"/>
                <w:color w:val="000000"/>
                <w:kern w:val="0"/>
                <w:sz w:val="22"/>
                <w:szCs w:val="22"/>
                <w:lang w:val="en-US" w:eastAsia="zh-CN"/>
              </w:rPr>
            </w:pPr>
          </w:p>
          <w:p w14:paraId="6D934BAB">
            <w:pPr>
              <w:widowControl/>
              <w:jc w:val="left"/>
              <w:rPr>
                <w:rFonts w:hint="default" w:asciiTheme="minorEastAsia" w:hAnsiTheme="minorEastAsia" w:eastAsiaTheme="minorEastAsia" w:cstheme="minorEastAsia"/>
                <w:color w:val="000000"/>
                <w:kern w:val="0"/>
                <w:sz w:val="22"/>
                <w:szCs w:val="22"/>
                <w:lang w:val="en-US" w:eastAsia="zh-CN"/>
              </w:rPr>
            </w:pPr>
          </w:p>
          <w:p w14:paraId="5D5B8F25">
            <w:pPr>
              <w:widowControl/>
              <w:jc w:val="left"/>
              <w:rPr>
                <w:rFonts w:hint="default" w:asciiTheme="minorEastAsia" w:hAnsiTheme="minorEastAsia" w:eastAsiaTheme="minorEastAsia" w:cstheme="minorEastAsia"/>
                <w:color w:val="000000"/>
                <w:kern w:val="0"/>
                <w:sz w:val="22"/>
                <w:szCs w:val="22"/>
                <w:lang w:val="en-US" w:eastAsia="zh-CN"/>
              </w:rPr>
            </w:pPr>
          </w:p>
          <w:p w14:paraId="128BB54C">
            <w:pPr>
              <w:widowControl/>
              <w:jc w:val="left"/>
              <w:rPr>
                <w:rFonts w:hint="default" w:asciiTheme="minorEastAsia" w:hAnsiTheme="minorEastAsia" w:eastAsiaTheme="minorEastAsia" w:cstheme="minorEastAsia"/>
                <w:color w:val="000000"/>
                <w:kern w:val="0"/>
                <w:sz w:val="22"/>
                <w:szCs w:val="22"/>
                <w:lang w:val="en-US" w:eastAsia="zh-CN"/>
              </w:rPr>
            </w:pPr>
          </w:p>
          <w:p w14:paraId="2B07CF31">
            <w:pPr>
              <w:widowControl/>
              <w:jc w:val="left"/>
              <w:rPr>
                <w:rFonts w:hint="default" w:asciiTheme="minorEastAsia" w:hAnsiTheme="minorEastAsia" w:eastAsiaTheme="minorEastAsia" w:cstheme="minorEastAsia"/>
                <w:color w:val="000000"/>
                <w:kern w:val="0"/>
                <w:sz w:val="22"/>
                <w:szCs w:val="22"/>
                <w:lang w:val="en-US" w:eastAsia="zh-CN"/>
              </w:rPr>
            </w:pPr>
          </w:p>
          <w:p w14:paraId="70E3778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初次违反，出于企业生产 经营需要，超出部分数量较</w:t>
            </w:r>
          </w:p>
          <w:p w14:paraId="48B249F0">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小，</w:t>
            </w:r>
          </w:p>
          <w:p w14:paraId="521186C2">
            <w:pPr>
              <w:widowControl/>
              <w:jc w:val="left"/>
              <w:rPr>
                <w:rFonts w:hint="eastAsia" w:asciiTheme="minorEastAsia" w:hAnsiTheme="minorEastAsia" w:eastAsiaTheme="minorEastAsia" w:cstheme="minorEastAsia"/>
                <w:color w:val="000000"/>
                <w:kern w:val="0"/>
                <w:sz w:val="22"/>
                <w:szCs w:val="22"/>
                <w:lang w:val="en-US" w:eastAsia="zh-CN"/>
              </w:rPr>
            </w:pPr>
          </w:p>
          <w:p w14:paraId="0E058A1A">
            <w:pPr>
              <w:widowControl/>
              <w:jc w:val="left"/>
              <w:rPr>
                <w:rFonts w:hint="eastAsia" w:asciiTheme="minorEastAsia" w:hAnsiTheme="minorEastAsia" w:eastAsiaTheme="minorEastAsia" w:cstheme="minorEastAsia"/>
                <w:color w:val="000000"/>
                <w:kern w:val="0"/>
                <w:sz w:val="22"/>
                <w:szCs w:val="22"/>
                <w:lang w:val="en-US" w:eastAsia="zh-CN"/>
              </w:rPr>
            </w:pPr>
          </w:p>
          <w:p w14:paraId="77F5AEF4">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社会危害性较小</w:t>
            </w:r>
          </w:p>
        </w:tc>
        <w:tc>
          <w:tcPr>
            <w:tcW w:w="5952" w:type="dxa"/>
            <w:tcBorders>
              <w:top w:val="single" w:color="000000" w:sz="4" w:space="0"/>
              <w:left w:val="single" w:color="000000" w:sz="4" w:space="0"/>
              <w:bottom w:val="single" w:color="000000" w:sz="6" w:space="0"/>
              <w:right w:val="single" w:color="000000" w:sz="4" w:space="0"/>
              <w:tl2br w:val="nil"/>
              <w:tr2bl w:val="nil"/>
            </w:tcBorders>
            <w:noWrap w:val="0"/>
            <w:vAlign w:val="top"/>
          </w:tcPr>
          <w:p w14:paraId="7A6850D3">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《易制毒化学品购销和运输管理办法》</w:t>
            </w:r>
          </w:p>
          <w:p w14:paraId="15C23B3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第二十六条 县级以上人民政府公安机关应当加强对易制毒化学品购销和运输等情况的监督检查，有关单位和个人应当积极配合。对发现非法购销和运输行为的，公安机关应当依法查处。</w:t>
            </w:r>
          </w:p>
          <w:p w14:paraId="201FC69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公安机关在进行易制毒化学品监督检查时，可以依法查看现场、查阅和复制有关资料、记录有关情况、扣押相关的证据材料和违法物品；必要时，可以临时查封有关场所。</w:t>
            </w:r>
          </w:p>
          <w:p w14:paraId="79BCC690">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被检查的单位或者个人应当如实提供有关情况和材料、物品，不得拒 绝或者隐匿。</w:t>
            </w:r>
          </w:p>
          <w:p w14:paraId="359CEC7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第三十一条 违反规定销售易制毒化学品，有下列情形之一的，公安 机关应当对销售单位处 1 万元以下罚款；有违法所得的，处 3 万元以下罚款，并对违法所得依法予以追缴；构成犯罪的，依法追究刑事责任：（二 超出购买许可证或者备案证明的品种、数量销售易制毒化学品的。</w:t>
            </w:r>
          </w:p>
          <w:p w14:paraId="6AC47378">
            <w:pPr>
              <w:pStyle w:val="3"/>
              <w:rPr>
                <w:rFonts w:hint="eastAsia" w:asciiTheme="minorEastAsia" w:hAnsiTheme="minorEastAsia" w:eastAsiaTheme="minorEastAsia" w:cstheme="minorEastAsia"/>
                <w:color w:val="000000"/>
                <w:kern w:val="0"/>
                <w:sz w:val="22"/>
                <w:szCs w:val="22"/>
                <w:lang w:val="en-US" w:eastAsia="zh-CN"/>
              </w:rPr>
            </w:pPr>
          </w:p>
          <w:p w14:paraId="683EB12F">
            <w:pPr>
              <w:rPr>
                <w:rFonts w:hint="eastAsia" w:asciiTheme="minorEastAsia" w:hAnsiTheme="minorEastAsia" w:eastAsiaTheme="minorEastAsia" w:cstheme="minorEastAsia"/>
                <w:color w:val="000000"/>
                <w:kern w:val="0"/>
                <w:sz w:val="22"/>
                <w:szCs w:val="22"/>
                <w:lang w:val="en-US" w:eastAsia="zh-CN"/>
              </w:rPr>
            </w:pPr>
          </w:p>
          <w:p w14:paraId="0F971CC7">
            <w:pPr>
              <w:pStyle w:val="3"/>
              <w:rPr>
                <w:rFonts w:hint="default"/>
                <w:lang w:val="en-US" w:eastAsia="zh-CN"/>
              </w:rPr>
            </w:pPr>
          </w:p>
        </w:tc>
        <w:tc>
          <w:tcPr>
            <w:tcW w:w="1447" w:type="dxa"/>
            <w:tcBorders>
              <w:top w:val="single" w:color="000000" w:sz="4" w:space="0"/>
              <w:left w:val="single" w:color="000000" w:sz="4" w:space="0"/>
              <w:bottom w:val="single" w:color="000000" w:sz="6" w:space="0"/>
              <w:right w:val="nil"/>
              <w:tl2br w:val="nil"/>
              <w:tr2bl w:val="nil"/>
            </w:tcBorders>
            <w:noWrap w:val="0"/>
            <w:vAlign w:val="top"/>
          </w:tcPr>
          <w:p w14:paraId="610F4223">
            <w:pPr>
              <w:widowControl/>
              <w:jc w:val="left"/>
              <w:rPr>
                <w:rFonts w:hint="default" w:asciiTheme="minorEastAsia" w:hAnsiTheme="minorEastAsia" w:eastAsiaTheme="minorEastAsia" w:cstheme="minorEastAsia"/>
                <w:color w:val="000000"/>
                <w:kern w:val="0"/>
                <w:sz w:val="22"/>
                <w:szCs w:val="22"/>
                <w:lang w:val="en-US" w:eastAsia="zh-CN"/>
              </w:rPr>
            </w:pPr>
          </w:p>
          <w:p w14:paraId="13A51166">
            <w:pPr>
              <w:widowControl/>
              <w:jc w:val="left"/>
              <w:rPr>
                <w:rFonts w:hint="default" w:asciiTheme="minorEastAsia" w:hAnsiTheme="minorEastAsia" w:eastAsiaTheme="minorEastAsia" w:cstheme="minorEastAsia"/>
                <w:color w:val="000000"/>
                <w:kern w:val="0"/>
                <w:sz w:val="22"/>
                <w:szCs w:val="22"/>
                <w:lang w:val="en-US" w:eastAsia="zh-CN"/>
              </w:rPr>
            </w:pPr>
          </w:p>
          <w:p w14:paraId="109C2252">
            <w:pPr>
              <w:widowControl/>
              <w:jc w:val="left"/>
              <w:rPr>
                <w:rFonts w:hint="default" w:asciiTheme="minorEastAsia" w:hAnsiTheme="minorEastAsia" w:eastAsiaTheme="minorEastAsia" w:cstheme="minorEastAsia"/>
                <w:color w:val="000000"/>
                <w:kern w:val="0"/>
                <w:sz w:val="22"/>
                <w:szCs w:val="22"/>
                <w:lang w:val="en-US" w:eastAsia="zh-CN"/>
              </w:rPr>
            </w:pPr>
          </w:p>
          <w:p w14:paraId="731D1951">
            <w:pPr>
              <w:widowControl/>
              <w:jc w:val="left"/>
              <w:rPr>
                <w:rFonts w:hint="default" w:asciiTheme="minorEastAsia" w:hAnsiTheme="minorEastAsia" w:eastAsiaTheme="minorEastAsia" w:cstheme="minorEastAsia"/>
                <w:color w:val="000000"/>
                <w:kern w:val="0"/>
                <w:sz w:val="22"/>
                <w:szCs w:val="22"/>
                <w:lang w:val="en-US" w:eastAsia="zh-CN"/>
              </w:rPr>
            </w:pPr>
          </w:p>
          <w:p w14:paraId="1580C778">
            <w:pPr>
              <w:widowControl/>
              <w:jc w:val="left"/>
              <w:rPr>
                <w:rFonts w:hint="default" w:asciiTheme="minorEastAsia" w:hAnsiTheme="minorEastAsia" w:eastAsiaTheme="minorEastAsia" w:cstheme="minorEastAsia"/>
                <w:color w:val="000000"/>
                <w:kern w:val="0"/>
                <w:sz w:val="22"/>
                <w:szCs w:val="22"/>
                <w:lang w:val="en-US" w:eastAsia="zh-CN"/>
              </w:rPr>
            </w:pPr>
          </w:p>
          <w:p w14:paraId="45112F8C">
            <w:pPr>
              <w:widowControl/>
              <w:jc w:val="left"/>
              <w:rPr>
                <w:rFonts w:hint="default" w:asciiTheme="minorEastAsia" w:hAnsiTheme="minorEastAsia" w:eastAsiaTheme="minorEastAsia" w:cstheme="minorEastAsia"/>
                <w:color w:val="000000"/>
                <w:kern w:val="0"/>
                <w:sz w:val="22"/>
                <w:szCs w:val="22"/>
                <w:lang w:val="en-US" w:eastAsia="zh-CN"/>
              </w:rPr>
            </w:pPr>
          </w:p>
          <w:p w14:paraId="557F07BC">
            <w:pPr>
              <w:widowControl/>
              <w:jc w:val="left"/>
              <w:rPr>
                <w:rFonts w:hint="default" w:asciiTheme="minorEastAsia" w:hAnsiTheme="minorEastAsia" w:eastAsiaTheme="minorEastAsia" w:cstheme="minorEastAsia"/>
                <w:color w:val="000000"/>
                <w:kern w:val="0"/>
                <w:sz w:val="22"/>
                <w:szCs w:val="22"/>
                <w:lang w:val="en-US" w:eastAsia="zh-CN"/>
              </w:rPr>
            </w:pPr>
          </w:p>
          <w:p w14:paraId="62AD2345">
            <w:pPr>
              <w:widowControl/>
              <w:jc w:val="left"/>
              <w:rPr>
                <w:rFonts w:hint="default" w:asciiTheme="minorEastAsia" w:hAnsiTheme="minorEastAsia" w:eastAsiaTheme="minorEastAsia" w:cstheme="minorEastAsia"/>
                <w:color w:val="000000"/>
                <w:kern w:val="0"/>
                <w:sz w:val="22"/>
                <w:szCs w:val="22"/>
                <w:lang w:val="en-US" w:eastAsia="zh-CN"/>
              </w:rPr>
            </w:pPr>
          </w:p>
          <w:p w14:paraId="6077D14B">
            <w:pPr>
              <w:widowControl/>
              <w:jc w:val="left"/>
              <w:rPr>
                <w:rFonts w:hint="default" w:asciiTheme="minorEastAsia" w:hAnsiTheme="minorEastAsia" w:eastAsiaTheme="minorEastAsia" w:cstheme="minorEastAsia"/>
                <w:color w:val="000000"/>
                <w:kern w:val="0"/>
                <w:sz w:val="22"/>
                <w:szCs w:val="22"/>
                <w:lang w:val="en-US" w:eastAsia="zh-CN"/>
              </w:rPr>
            </w:pPr>
          </w:p>
          <w:p w14:paraId="2EB0A3D6">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公安机关</w:t>
            </w:r>
          </w:p>
          <w:p w14:paraId="0A9C4B4F">
            <w:pPr>
              <w:widowControl/>
              <w:jc w:val="left"/>
              <w:rPr>
                <w:rFonts w:hint="default" w:asciiTheme="minorEastAsia" w:hAnsiTheme="minorEastAsia" w:eastAsiaTheme="minorEastAsia" w:cstheme="minorEastAsia"/>
                <w:color w:val="000000"/>
                <w:kern w:val="0"/>
                <w:sz w:val="22"/>
                <w:szCs w:val="22"/>
                <w:lang w:val="en-US" w:eastAsia="zh-CN"/>
              </w:rPr>
            </w:pPr>
          </w:p>
          <w:p w14:paraId="15111BA1">
            <w:pPr>
              <w:widowControl/>
              <w:jc w:val="left"/>
              <w:rPr>
                <w:rFonts w:hint="default" w:asciiTheme="minorEastAsia" w:hAnsiTheme="minorEastAsia" w:eastAsiaTheme="minorEastAsia" w:cstheme="minorEastAsia"/>
                <w:color w:val="000000"/>
                <w:kern w:val="0"/>
                <w:sz w:val="22"/>
                <w:szCs w:val="22"/>
                <w:lang w:val="en-US" w:eastAsia="zh-CN"/>
              </w:rPr>
            </w:pPr>
          </w:p>
          <w:p w14:paraId="66DB1B30">
            <w:pPr>
              <w:widowControl/>
              <w:jc w:val="left"/>
              <w:rPr>
                <w:rFonts w:hint="default" w:asciiTheme="minorEastAsia" w:hAnsiTheme="minorEastAsia" w:eastAsiaTheme="minorEastAsia" w:cstheme="minorEastAsia"/>
                <w:color w:val="000000"/>
                <w:kern w:val="0"/>
                <w:sz w:val="22"/>
                <w:szCs w:val="22"/>
                <w:lang w:val="en-US" w:eastAsia="zh-CN"/>
              </w:rPr>
            </w:pPr>
          </w:p>
          <w:p w14:paraId="1EBCBE6E">
            <w:pPr>
              <w:widowControl/>
              <w:jc w:val="left"/>
              <w:rPr>
                <w:rFonts w:hint="default" w:asciiTheme="minorEastAsia" w:hAnsiTheme="minorEastAsia" w:eastAsiaTheme="minorEastAsia" w:cstheme="minorEastAsia"/>
                <w:color w:val="000000"/>
                <w:kern w:val="0"/>
                <w:sz w:val="22"/>
                <w:szCs w:val="22"/>
                <w:lang w:val="en-US" w:eastAsia="zh-CN"/>
              </w:rPr>
            </w:pPr>
          </w:p>
          <w:p w14:paraId="4D6DD4AE">
            <w:pPr>
              <w:widowControl/>
              <w:jc w:val="left"/>
              <w:rPr>
                <w:rFonts w:hint="default" w:asciiTheme="minorEastAsia" w:hAnsiTheme="minorEastAsia" w:eastAsiaTheme="minorEastAsia" w:cstheme="minorEastAsia"/>
                <w:color w:val="000000"/>
                <w:kern w:val="0"/>
                <w:sz w:val="22"/>
                <w:szCs w:val="22"/>
                <w:lang w:val="en-US" w:eastAsia="zh-CN"/>
              </w:rPr>
            </w:pPr>
          </w:p>
        </w:tc>
        <w:tc>
          <w:tcPr>
            <w:tcW w:w="488" w:type="dxa"/>
            <w:tcBorders>
              <w:top w:val="single" w:color="000000" w:sz="4" w:space="0"/>
              <w:left w:val="nil"/>
              <w:bottom w:val="single" w:color="000000" w:sz="6" w:space="0"/>
              <w:right w:val="single" w:color="000000" w:sz="6" w:space="0"/>
              <w:tl2br w:val="nil"/>
              <w:tr2bl w:val="nil"/>
            </w:tcBorders>
            <w:noWrap w:val="0"/>
            <w:vAlign w:val="top"/>
          </w:tcPr>
          <w:p w14:paraId="283D1D64">
            <w:pPr>
              <w:widowControl/>
              <w:jc w:val="left"/>
              <w:rPr>
                <w:rFonts w:hint="default" w:asciiTheme="minorEastAsia" w:hAnsiTheme="minorEastAsia" w:eastAsiaTheme="minorEastAsia" w:cstheme="minorEastAsia"/>
                <w:color w:val="000000"/>
                <w:kern w:val="0"/>
                <w:sz w:val="22"/>
                <w:szCs w:val="22"/>
                <w:lang w:val="en-US" w:eastAsia="zh-CN"/>
              </w:rPr>
            </w:pPr>
          </w:p>
          <w:p w14:paraId="36E70D8B">
            <w:pPr>
              <w:widowControl/>
              <w:jc w:val="left"/>
              <w:rPr>
                <w:rFonts w:hint="default" w:asciiTheme="minorEastAsia" w:hAnsiTheme="minorEastAsia" w:eastAsiaTheme="minorEastAsia" w:cstheme="minorEastAsia"/>
                <w:color w:val="000000"/>
                <w:kern w:val="0"/>
                <w:sz w:val="22"/>
                <w:szCs w:val="22"/>
                <w:lang w:val="en-US" w:eastAsia="zh-CN"/>
              </w:rPr>
            </w:pPr>
          </w:p>
          <w:p w14:paraId="46C3BE8D">
            <w:pPr>
              <w:widowControl/>
              <w:jc w:val="left"/>
              <w:rPr>
                <w:rFonts w:hint="default" w:asciiTheme="minorEastAsia" w:hAnsiTheme="minorEastAsia" w:eastAsiaTheme="minorEastAsia" w:cstheme="minorEastAsia"/>
                <w:color w:val="000000"/>
                <w:kern w:val="0"/>
                <w:sz w:val="22"/>
                <w:szCs w:val="22"/>
                <w:lang w:val="en-US" w:eastAsia="zh-CN"/>
              </w:rPr>
            </w:pPr>
          </w:p>
          <w:p w14:paraId="17D4D0C0">
            <w:pPr>
              <w:widowControl/>
              <w:jc w:val="left"/>
              <w:rPr>
                <w:rFonts w:hint="default" w:asciiTheme="minorEastAsia" w:hAnsiTheme="minorEastAsia" w:eastAsiaTheme="minorEastAsia" w:cstheme="minorEastAsia"/>
                <w:color w:val="000000"/>
                <w:kern w:val="0"/>
                <w:sz w:val="22"/>
                <w:szCs w:val="22"/>
                <w:lang w:val="en-US" w:eastAsia="zh-CN"/>
              </w:rPr>
            </w:pPr>
          </w:p>
          <w:p w14:paraId="2C63D670">
            <w:pPr>
              <w:widowControl/>
              <w:jc w:val="left"/>
              <w:rPr>
                <w:rFonts w:hint="default" w:asciiTheme="minorEastAsia" w:hAnsiTheme="minorEastAsia" w:eastAsiaTheme="minorEastAsia" w:cstheme="minorEastAsia"/>
                <w:color w:val="000000"/>
                <w:kern w:val="0"/>
                <w:sz w:val="22"/>
                <w:szCs w:val="22"/>
                <w:lang w:val="en-US" w:eastAsia="zh-CN"/>
              </w:rPr>
            </w:pPr>
          </w:p>
          <w:p w14:paraId="25E783AE">
            <w:pPr>
              <w:widowControl/>
              <w:jc w:val="left"/>
              <w:rPr>
                <w:rFonts w:hint="default" w:asciiTheme="minorEastAsia" w:hAnsiTheme="minorEastAsia" w:eastAsiaTheme="minorEastAsia" w:cstheme="minorEastAsia"/>
                <w:color w:val="000000"/>
                <w:kern w:val="0"/>
                <w:sz w:val="22"/>
                <w:szCs w:val="22"/>
                <w:lang w:val="en-US" w:eastAsia="zh-CN"/>
              </w:rPr>
            </w:pPr>
          </w:p>
          <w:p w14:paraId="40B1B2E4">
            <w:pPr>
              <w:widowControl/>
              <w:jc w:val="left"/>
              <w:rPr>
                <w:rFonts w:hint="default" w:asciiTheme="minorEastAsia" w:hAnsiTheme="minorEastAsia" w:eastAsiaTheme="minorEastAsia" w:cstheme="minorEastAsia"/>
                <w:color w:val="000000"/>
                <w:kern w:val="0"/>
                <w:sz w:val="22"/>
                <w:szCs w:val="22"/>
                <w:lang w:val="en-US" w:eastAsia="zh-CN"/>
              </w:rPr>
            </w:pPr>
          </w:p>
        </w:tc>
      </w:tr>
      <w:tr w14:paraId="2C345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0" w:hRule="exact"/>
        </w:trPr>
        <w:tc>
          <w:tcPr>
            <w:tcW w:w="883" w:type="dxa"/>
            <w:tcBorders>
              <w:top w:val="single" w:color="000000" w:sz="4" w:space="0"/>
              <w:left w:val="single" w:color="000000" w:sz="6" w:space="0"/>
              <w:bottom w:val="single" w:color="000000" w:sz="6" w:space="0"/>
              <w:right w:val="single" w:color="000000" w:sz="4" w:space="0"/>
              <w:tl2br w:val="nil"/>
              <w:tr2bl w:val="nil"/>
            </w:tcBorders>
            <w:noWrap w:val="0"/>
            <w:vAlign w:val="top"/>
          </w:tcPr>
          <w:p w14:paraId="3C4C6A3C">
            <w:pPr>
              <w:widowControl/>
              <w:numPr>
                <w:numId w:val="0"/>
              </w:numPr>
              <w:tabs>
                <w:tab w:val="left" w:pos="420"/>
              </w:tabs>
              <w:jc w:val="left"/>
              <w:rPr>
                <w:rFonts w:hint="default" w:asciiTheme="minorEastAsia" w:hAnsiTheme="minorEastAsia" w:eastAsiaTheme="minorEastAsia" w:cstheme="minorEastAsia"/>
                <w:color w:val="000000"/>
                <w:kern w:val="0"/>
                <w:sz w:val="22"/>
                <w:szCs w:val="22"/>
              </w:rPr>
            </w:pPr>
          </w:p>
          <w:p w14:paraId="3F7FE1C1">
            <w:pPr>
              <w:pStyle w:val="3"/>
              <w:rPr>
                <w:rFonts w:hint="default" w:asciiTheme="minorEastAsia" w:hAnsiTheme="minorEastAsia" w:eastAsiaTheme="minorEastAsia" w:cstheme="minorEastAsia"/>
                <w:color w:val="000000"/>
                <w:kern w:val="0"/>
                <w:sz w:val="22"/>
                <w:szCs w:val="22"/>
              </w:rPr>
            </w:pPr>
          </w:p>
          <w:p w14:paraId="184C7EF9">
            <w:pPr>
              <w:rPr>
                <w:rFonts w:hint="default" w:asciiTheme="minorEastAsia" w:hAnsiTheme="minorEastAsia" w:eastAsiaTheme="minorEastAsia" w:cstheme="minorEastAsia"/>
                <w:color w:val="000000"/>
                <w:kern w:val="0"/>
                <w:sz w:val="22"/>
                <w:szCs w:val="22"/>
              </w:rPr>
            </w:pPr>
          </w:p>
          <w:p w14:paraId="3BAF509B">
            <w:pPr>
              <w:pStyle w:val="3"/>
              <w:rPr>
                <w:rFonts w:hint="eastAsia"/>
                <w:lang w:val="en-US" w:eastAsia="zh-CN"/>
              </w:rPr>
            </w:pPr>
            <w:r>
              <w:rPr>
                <w:rFonts w:hint="eastAsia"/>
                <w:lang w:val="en-US" w:eastAsia="zh-CN"/>
              </w:rPr>
              <w:t>4</w:t>
            </w:r>
          </w:p>
          <w:p w14:paraId="4BA5FCFB">
            <w:pPr>
              <w:bidi w:val="0"/>
              <w:ind w:firstLine="389" w:firstLineChars="0"/>
              <w:jc w:val="left"/>
              <w:rPr>
                <w:rFonts w:hint="default"/>
                <w:lang w:val="en-US" w:eastAsia="zh-CN"/>
              </w:rPr>
            </w:pPr>
            <w:r>
              <w:rPr>
                <w:rFonts w:hint="eastAsia"/>
                <w:lang w:val="en-US" w:eastAsia="zh-CN"/>
              </w:rPr>
              <w:t>4</w:t>
            </w:r>
          </w:p>
        </w:tc>
        <w:tc>
          <w:tcPr>
            <w:tcW w:w="2265"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7FFE90FB">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拆除或者封闭未取得取水申请批准文件擅自建设的取水工程或者设施</w:t>
            </w:r>
          </w:p>
        </w:tc>
        <w:tc>
          <w:tcPr>
            <w:tcW w:w="3386"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2534E71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未造成损害或者在规定期限内采取补救措施，补办手续的</w:t>
            </w:r>
          </w:p>
        </w:tc>
        <w:tc>
          <w:tcPr>
            <w:tcW w:w="5952"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3B022BE4">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《取水许可和水资源费征收管理条例》第四十九条 未取得取水申请批准文件擅自建设取水工程或者设施的，责令停止违法行为，限期补办有关手续；逾期不补办或者补办未被批准的，责令限期拆除或者封闭其取水工程或者设施；逾期不拆除或者不封闭其取水工程或者设施的，由县级以上地方人民政府水行政主管部门或者流域管理机构组织拆除或者封闭，所需费用由违法行为人承担，可以处5万元以下罚款。</w:t>
            </w:r>
          </w:p>
        </w:tc>
        <w:tc>
          <w:tcPr>
            <w:tcW w:w="1447" w:type="dxa"/>
            <w:tcBorders>
              <w:top w:val="single" w:color="000000" w:sz="4" w:space="0"/>
              <w:left w:val="single" w:color="000000" w:sz="4" w:space="0"/>
              <w:bottom w:val="single" w:color="000000" w:sz="6" w:space="0"/>
              <w:right w:val="nil"/>
              <w:tl2br w:val="nil"/>
              <w:tr2bl w:val="nil"/>
            </w:tcBorders>
            <w:shd w:val="clear" w:color="auto" w:fill="auto"/>
            <w:noWrap w:val="0"/>
            <w:vAlign w:val="center"/>
          </w:tcPr>
          <w:p w14:paraId="2FA24C7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县级以上人民政府水行政主管部门</w:t>
            </w:r>
          </w:p>
        </w:tc>
        <w:tc>
          <w:tcPr>
            <w:tcW w:w="488" w:type="dxa"/>
            <w:tcBorders>
              <w:top w:val="single" w:color="000000" w:sz="4" w:space="0"/>
              <w:left w:val="nil"/>
              <w:bottom w:val="single" w:color="000000" w:sz="6" w:space="0"/>
              <w:right w:val="single" w:color="000000" w:sz="6" w:space="0"/>
              <w:tl2br w:val="nil"/>
              <w:tr2bl w:val="nil"/>
            </w:tcBorders>
            <w:noWrap w:val="0"/>
            <w:vAlign w:val="top"/>
          </w:tcPr>
          <w:p w14:paraId="68F08483">
            <w:pPr>
              <w:widowControl/>
              <w:jc w:val="left"/>
              <w:rPr>
                <w:rFonts w:hint="eastAsia" w:asciiTheme="minorEastAsia" w:hAnsiTheme="minorEastAsia" w:eastAsiaTheme="minorEastAsia" w:cstheme="minorEastAsia"/>
                <w:color w:val="000000"/>
                <w:kern w:val="0"/>
                <w:sz w:val="22"/>
                <w:szCs w:val="22"/>
                <w:lang w:val="en-US" w:eastAsia="zh-CN"/>
              </w:rPr>
            </w:pPr>
          </w:p>
        </w:tc>
      </w:tr>
      <w:tr w14:paraId="51403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0" w:hRule="exact"/>
        </w:trPr>
        <w:tc>
          <w:tcPr>
            <w:tcW w:w="883" w:type="dxa"/>
            <w:tcBorders>
              <w:top w:val="single" w:color="000000" w:sz="4" w:space="0"/>
              <w:left w:val="single" w:color="000000" w:sz="6" w:space="0"/>
              <w:bottom w:val="single" w:color="000000" w:sz="6" w:space="0"/>
              <w:right w:val="single" w:color="000000" w:sz="4" w:space="0"/>
              <w:tl2br w:val="nil"/>
              <w:tr2bl w:val="nil"/>
            </w:tcBorders>
            <w:noWrap w:val="0"/>
            <w:vAlign w:val="top"/>
          </w:tcPr>
          <w:p w14:paraId="47931E7D">
            <w:pPr>
              <w:widowControl/>
              <w:numPr>
                <w:numId w:val="0"/>
              </w:numPr>
              <w:ind w:leftChars="0"/>
              <w:jc w:val="left"/>
              <w:rPr>
                <w:rFonts w:hint="eastAsia" w:asciiTheme="minorEastAsia" w:hAnsiTheme="minorEastAsia" w:eastAsiaTheme="minorEastAsia" w:cstheme="minorEastAsia"/>
                <w:color w:val="000000"/>
                <w:kern w:val="0"/>
                <w:sz w:val="22"/>
                <w:szCs w:val="22"/>
                <w:lang w:eastAsia="zh-CN"/>
              </w:rPr>
            </w:pPr>
            <w:r>
              <w:rPr>
                <w:rFonts w:hint="eastAsia" w:asciiTheme="minorEastAsia" w:hAnsiTheme="minorEastAsia" w:eastAsiaTheme="minorEastAsia" w:cstheme="minorEastAsia"/>
                <w:color w:val="000000"/>
                <w:kern w:val="0"/>
                <w:sz w:val="22"/>
                <w:szCs w:val="22"/>
                <w:lang w:val="en-US" w:eastAsia="zh-CN"/>
              </w:rPr>
              <w:t>5</w:t>
            </w:r>
          </w:p>
        </w:tc>
        <w:tc>
          <w:tcPr>
            <w:tcW w:w="2265"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21343CD7">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对违反禁渔区、禁渔期的规定或者使用禁用的渔具、捕捞方法进行捕捞，以及未取得捕捞许可证进行捕捞的行政强制</w:t>
            </w:r>
          </w:p>
        </w:tc>
        <w:tc>
          <w:tcPr>
            <w:tcW w:w="3386"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7A5AE0C0">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违法行为情节显著轻微或者未造成明显社会危害</w:t>
            </w:r>
          </w:p>
        </w:tc>
        <w:tc>
          <w:tcPr>
            <w:tcW w:w="5952"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1EA2EE2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【法律】《中华人民共和国行政强制法》第十六条 行政机关履行行政管理职责，依照法律、法规的规定，实施行政强制措施。</w:t>
            </w:r>
          </w:p>
          <w:p w14:paraId="4D888F9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违法行为情节显著轻微或者没有明显社会危害的，可以不采取行政强制措施。</w:t>
            </w:r>
          </w:p>
          <w:p w14:paraId="72B854C8">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【法律】《中华人民共和国渔业法》 第四十八条第二款 在海上执法时，对违反禁渔区、禁渔期的规定或者使用禁用的渔具、捕捞方法进行捕捞，以及未取得捕捞许可证进行捕捞的，事实清楚、证据充分，但是当场不能按照法定程序作出和执行行政处罚决定的，可以先暂时扣押捕捞许可证、渔具或者渔船，回港后依法作出和执行行政处罚决定。</w:t>
            </w:r>
          </w:p>
        </w:tc>
        <w:tc>
          <w:tcPr>
            <w:tcW w:w="1447" w:type="dxa"/>
            <w:tcBorders>
              <w:top w:val="single" w:color="000000" w:sz="4" w:space="0"/>
              <w:left w:val="single" w:color="000000" w:sz="4" w:space="0"/>
              <w:bottom w:val="single" w:color="000000" w:sz="6" w:space="0"/>
              <w:right w:val="nil"/>
              <w:tl2br w:val="nil"/>
              <w:tr2bl w:val="nil"/>
            </w:tcBorders>
            <w:shd w:val="clear" w:color="auto" w:fill="auto"/>
            <w:noWrap w:val="0"/>
            <w:vAlign w:val="center"/>
          </w:tcPr>
          <w:p w14:paraId="109D6C07">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苏州市农业农村局及各市（区）农业农村局</w:t>
            </w:r>
          </w:p>
        </w:tc>
        <w:tc>
          <w:tcPr>
            <w:tcW w:w="488" w:type="dxa"/>
            <w:tcBorders>
              <w:top w:val="single" w:color="000000" w:sz="4" w:space="0"/>
              <w:left w:val="nil"/>
              <w:bottom w:val="single" w:color="000000" w:sz="6" w:space="0"/>
              <w:right w:val="single" w:color="000000" w:sz="6" w:space="0"/>
              <w:tl2br w:val="nil"/>
              <w:tr2bl w:val="nil"/>
            </w:tcBorders>
            <w:noWrap w:val="0"/>
            <w:vAlign w:val="top"/>
          </w:tcPr>
          <w:p w14:paraId="6D44753D">
            <w:pPr>
              <w:widowControl/>
              <w:jc w:val="left"/>
              <w:rPr>
                <w:rFonts w:hint="eastAsia" w:asciiTheme="minorEastAsia" w:hAnsiTheme="minorEastAsia" w:eastAsiaTheme="minorEastAsia" w:cstheme="minorEastAsia"/>
                <w:color w:val="000000"/>
                <w:kern w:val="0"/>
                <w:sz w:val="22"/>
                <w:szCs w:val="22"/>
                <w:lang w:val="en-US" w:eastAsia="zh-CN"/>
              </w:rPr>
            </w:pPr>
          </w:p>
        </w:tc>
      </w:tr>
      <w:tr w14:paraId="560B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7" w:hRule="exact"/>
        </w:trPr>
        <w:tc>
          <w:tcPr>
            <w:tcW w:w="883" w:type="dxa"/>
            <w:tcBorders>
              <w:top w:val="single" w:color="000000" w:sz="4" w:space="0"/>
              <w:left w:val="single" w:color="000000" w:sz="6" w:space="0"/>
              <w:bottom w:val="single" w:color="000000" w:sz="6" w:space="0"/>
              <w:right w:val="single" w:color="000000" w:sz="4" w:space="0"/>
              <w:tl2br w:val="nil"/>
              <w:tr2bl w:val="nil"/>
            </w:tcBorders>
            <w:noWrap w:val="0"/>
            <w:vAlign w:val="top"/>
          </w:tcPr>
          <w:p w14:paraId="5FFA9FF6">
            <w:pPr>
              <w:widowControl/>
              <w:numPr>
                <w:numId w:val="0"/>
              </w:numPr>
              <w:ind w:leftChars="0"/>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6</w:t>
            </w:r>
          </w:p>
        </w:tc>
        <w:tc>
          <w:tcPr>
            <w:tcW w:w="2265"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0FB71B5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对擅自占用道路、人行过街桥、人行地下过街通道、地铁通道以及其他公共场地摆摊设点的兜售的物品及其装盛器具的暂扣</w:t>
            </w:r>
          </w:p>
        </w:tc>
        <w:tc>
          <w:tcPr>
            <w:tcW w:w="3386"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4A093970">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初次违反，违法行为情节显著轻微并及时改正，没有明显社会危害的。</w:t>
            </w:r>
          </w:p>
        </w:tc>
        <w:tc>
          <w:tcPr>
            <w:tcW w:w="5952"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21888440">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【地方性法规】《江苏省城市市容和环境卫生管理条例》</w:t>
            </w:r>
          </w:p>
          <w:p w14:paraId="720AAFE9">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任何单位和个人不得擅自占用道路、公共广场、人行过街桥、人行地下通道等公共场地摆摊设点，不得擅自占用道路在货运车辆上兜售物品。经批准或者疏导临时占用道路、公共广场或者其他公共场地摆摊设点的，经营者应当按照规定的时间、区域经营并保持场地及周围环境卫生、整洁、有序。</w:t>
            </w:r>
          </w:p>
          <w:p w14:paraId="66F0246E">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设区的市、县（市、区）、乡镇人民政府应当按照不影响市容环卫、安全、道路通行和方便居民生活的原则，设置餐饮、集市、季节性农副产品销售以及修车、缝补、配锁等摊点疏导点，划定经营区域，明确经营时间、经营范围，根据需要和有关规定配套设置供水、供电和污水、垃圾收集等必要设施，确定管理责任人。摊点疏导点的设置应当征求公众意见后确定，并向社会公布。</w:t>
            </w:r>
          </w:p>
          <w:p w14:paraId="42B131BB">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任何单位和个人不得在所在地人民政府禁止的区域和时段露天烧烤或者为露天烧烤提供场所。</w:t>
            </w:r>
          </w:p>
          <w:p w14:paraId="4983854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第六十三条第六款 违反本条例规定，有下列行为之一，影响市容的，由设区的市、县（市、区）城市管理主管部门按照以下规定处理：</w:t>
            </w:r>
          </w:p>
          <w:p w14:paraId="55FAB10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六）擅自占用道路、公共广场、人行过街桥、人行地下通道以及其他公共场地摆摊设点的，责令停止违法行为；继续违法经营的，可以依法扣押涉案的物品及其装盛器具，处二十元以上二百元以下罚款；擅自占用道路在货运车辆上兜售物品的，处五百元以上五千元以下罚款。依法决定实施扣押的，应当履行法定程序，制作并当场交付扣押决定书和清单。</w:t>
            </w:r>
          </w:p>
        </w:tc>
        <w:tc>
          <w:tcPr>
            <w:tcW w:w="1447" w:type="dxa"/>
            <w:tcBorders>
              <w:top w:val="single" w:color="000000" w:sz="4" w:space="0"/>
              <w:left w:val="single" w:color="000000" w:sz="4" w:space="0"/>
              <w:bottom w:val="single" w:color="000000" w:sz="6" w:space="0"/>
              <w:right w:val="nil"/>
              <w:tl2br w:val="nil"/>
              <w:tr2bl w:val="nil"/>
            </w:tcBorders>
            <w:shd w:val="clear" w:color="auto" w:fill="auto"/>
            <w:noWrap w:val="0"/>
            <w:vAlign w:val="center"/>
          </w:tcPr>
          <w:p w14:paraId="416CD7D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市城管局，县级市、区城管局（综合行政执法局），行使相应行政强制权的镇人民政府（街道办事处）。</w:t>
            </w:r>
          </w:p>
        </w:tc>
        <w:tc>
          <w:tcPr>
            <w:tcW w:w="488" w:type="dxa"/>
            <w:tcBorders>
              <w:top w:val="single" w:color="000000" w:sz="4" w:space="0"/>
              <w:left w:val="nil"/>
              <w:bottom w:val="single" w:color="000000" w:sz="6" w:space="0"/>
              <w:right w:val="single" w:color="000000" w:sz="6" w:space="0"/>
              <w:tl2br w:val="nil"/>
              <w:tr2bl w:val="nil"/>
            </w:tcBorders>
            <w:noWrap w:val="0"/>
            <w:vAlign w:val="top"/>
          </w:tcPr>
          <w:p w14:paraId="299AFDB0">
            <w:pPr>
              <w:widowControl/>
              <w:jc w:val="left"/>
              <w:rPr>
                <w:rFonts w:hint="eastAsia" w:asciiTheme="minorEastAsia" w:hAnsiTheme="minorEastAsia" w:eastAsiaTheme="minorEastAsia" w:cstheme="minorEastAsia"/>
                <w:color w:val="000000"/>
                <w:kern w:val="0"/>
                <w:sz w:val="22"/>
                <w:szCs w:val="22"/>
                <w:lang w:val="en-US" w:eastAsia="zh-CN"/>
              </w:rPr>
            </w:pPr>
          </w:p>
        </w:tc>
      </w:tr>
      <w:tr w14:paraId="40DF1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0" w:hRule="exact"/>
        </w:trPr>
        <w:tc>
          <w:tcPr>
            <w:tcW w:w="883" w:type="dxa"/>
            <w:tcBorders>
              <w:top w:val="single" w:color="000000" w:sz="4" w:space="0"/>
              <w:left w:val="single" w:color="000000" w:sz="6" w:space="0"/>
              <w:bottom w:val="single" w:color="000000" w:sz="6" w:space="0"/>
              <w:right w:val="single" w:color="000000" w:sz="4" w:space="0"/>
              <w:tl2br w:val="nil"/>
              <w:tr2bl w:val="nil"/>
            </w:tcBorders>
            <w:noWrap w:val="0"/>
            <w:vAlign w:val="top"/>
          </w:tcPr>
          <w:p w14:paraId="64B69EBA">
            <w:pPr>
              <w:widowControl/>
              <w:numPr>
                <w:numId w:val="0"/>
              </w:numPr>
              <w:ind w:leftChars="0"/>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7</w:t>
            </w:r>
          </w:p>
        </w:tc>
        <w:tc>
          <w:tcPr>
            <w:tcW w:w="2265"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70076CB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暂扣船舶、浮动设施</w:t>
            </w:r>
          </w:p>
        </w:tc>
        <w:tc>
          <w:tcPr>
            <w:tcW w:w="3386"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506F564E">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1.初次被发现；</w:t>
            </w:r>
          </w:p>
          <w:p w14:paraId="5996AF5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2.违法行为情节显著轻微或者没有明显社会危害的；</w:t>
            </w:r>
          </w:p>
          <w:p w14:paraId="32E929D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3.采用非强制手段能够达到行政管理目的的。</w:t>
            </w:r>
          </w:p>
          <w:p w14:paraId="716F23A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4.按照要求积极改正违法行为的。</w:t>
            </w:r>
          </w:p>
          <w:p w14:paraId="5EF5EE79">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（上述条件需同时满足）</w:t>
            </w:r>
          </w:p>
        </w:tc>
        <w:tc>
          <w:tcPr>
            <w:tcW w:w="5952" w:type="dxa"/>
            <w:tcBorders>
              <w:top w:val="single" w:color="000000" w:sz="4" w:space="0"/>
              <w:left w:val="single" w:color="000000" w:sz="4" w:space="0"/>
              <w:bottom w:val="single" w:color="000000" w:sz="6" w:space="0"/>
              <w:right w:val="single" w:color="000000" w:sz="4" w:space="0"/>
              <w:tl2br w:val="nil"/>
              <w:tr2bl w:val="nil"/>
            </w:tcBorders>
            <w:shd w:val="clear" w:color="auto" w:fill="auto"/>
            <w:noWrap w:val="0"/>
            <w:vAlign w:val="center"/>
          </w:tcPr>
          <w:p w14:paraId="014CEE6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《中华人民共和国内河交通安全管理条例》</w:t>
            </w:r>
          </w:p>
          <w:p w14:paraId="44DF814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xml:space="preserve">  第六十四条 违反本条例的规定，船舶、浮动设施未持有合格的检验证书、登记证书或者船舶未持有必要的航行资料，擅自航行或者作业的，由海事管理机构责令停止航行或者作业；拒不停止的，暂扣船舶、浮动设施；情节严重的，予以没收。   </w:t>
            </w:r>
          </w:p>
          <w:p w14:paraId="1E12E25E">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《中华人民共和国行政强制法》第五条 行政强制的设定和实施，应当适当。采用非强制手段可以达到行政管理目的的，不得设定和实施行政强制。</w:t>
            </w:r>
          </w:p>
          <w:p w14:paraId="6B3F0B21">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《中华人民共和国行政强制法》第十六条第二款 违法行为情节显著轻微或者没有明显社会危害的，可以不采取行政强制措施。</w:t>
            </w:r>
          </w:p>
          <w:p w14:paraId="2A17063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《优化营商环境条例》第五十九条第一款 行政执法中应当推广运用说服教育、劝导示范、行政指导等非强制性手段，依法慎重实施行政强制。采用非强制性手段能够达到行政管理目的的，不得实施行政强制；违法行为情节轻微或者社会危害较小的，可以不实施行政强制；确需实施行政强制的，应当尽可能减少对市场主体正常生产经营活动的影响。</w:t>
            </w:r>
          </w:p>
        </w:tc>
        <w:tc>
          <w:tcPr>
            <w:tcW w:w="1447" w:type="dxa"/>
            <w:tcBorders>
              <w:top w:val="single" w:color="000000" w:sz="4" w:space="0"/>
              <w:left w:val="single" w:color="000000" w:sz="4" w:space="0"/>
              <w:bottom w:val="single" w:color="000000" w:sz="6" w:space="0"/>
              <w:right w:val="nil"/>
              <w:tl2br w:val="nil"/>
              <w:tr2bl w:val="nil"/>
            </w:tcBorders>
            <w:shd w:val="clear" w:color="auto" w:fill="auto"/>
            <w:noWrap w:val="0"/>
            <w:vAlign w:val="center"/>
          </w:tcPr>
          <w:p w14:paraId="0439993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苏州市及各市（区）交通运输综合执法机构</w:t>
            </w:r>
          </w:p>
        </w:tc>
        <w:tc>
          <w:tcPr>
            <w:tcW w:w="488" w:type="dxa"/>
            <w:tcBorders>
              <w:top w:val="single" w:color="000000" w:sz="4" w:space="0"/>
              <w:left w:val="nil"/>
              <w:bottom w:val="single" w:color="000000" w:sz="6" w:space="0"/>
              <w:right w:val="single" w:color="000000" w:sz="6" w:space="0"/>
              <w:tl2br w:val="nil"/>
              <w:tr2bl w:val="nil"/>
            </w:tcBorders>
            <w:noWrap w:val="0"/>
            <w:vAlign w:val="top"/>
          </w:tcPr>
          <w:p w14:paraId="1BDD9FEE">
            <w:pPr>
              <w:widowControl/>
              <w:jc w:val="left"/>
              <w:rPr>
                <w:rFonts w:hint="eastAsia" w:asciiTheme="minorEastAsia" w:hAnsiTheme="minorEastAsia" w:eastAsiaTheme="minorEastAsia" w:cstheme="minorEastAsia"/>
                <w:color w:val="000000"/>
                <w:kern w:val="0"/>
                <w:sz w:val="22"/>
                <w:szCs w:val="22"/>
                <w:lang w:val="en-US" w:eastAsia="zh-CN"/>
              </w:rPr>
            </w:pPr>
          </w:p>
        </w:tc>
      </w:tr>
      <w:tr w14:paraId="3049BA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7547BBCA">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8</w:t>
            </w:r>
          </w:p>
        </w:tc>
        <w:tc>
          <w:tcPr>
            <w:tcW w:w="2265" w:type="dxa"/>
            <w:tcBorders>
              <w:top w:val="nil"/>
              <w:left w:val="nil"/>
              <w:bottom w:val="single" w:color="auto" w:sz="4" w:space="0"/>
              <w:right w:val="single" w:color="auto" w:sz="4" w:space="0"/>
            </w:tcBorders>
            <w:shd w:val="clear" w:color="auto" w:fill="auto"/>
            <w:vAlign w:val="center"/>
          </w:tcPr>
          <w:p w14:paraId="61F4BA1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封存涉嫌违反中华人民共和国计量法实施细则的计量器具新产品。</w:t>
            </w:r>
          </w:p>
        </w:tc>
        <w:tc>
          <w:tcPr>
            <w:tcW w:w="3386" w:type="dxa"/>
            <w:tcBorders>
              <w:top w:val="nil"/>
              <w:left w:val="nil"/>
              <w:bottom w:val="single" w:color="auto" w:sz="4" w:space="0"/>
              <w:right w:val="single" w:color="auto" w:sz="4" w:space="0"/>
            </w:tcBorders>
            <w:shd w:val="clear" w:color="auto" w:fill="auto"/>
            <w:vAlign w:val="center"/>
          </w:tcPr>
          <w:p w14:paraId="6022364C">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0E304A0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计量法实施细则》(根据2022年3月29日《国务院关于修改和废止部分行政法规的决定》第四次修订)第四十四条制造、销售未经型式批准或样机试验合格的计量器具新产品的，责令其停止制造、销售，封存该种新产品，没收全部违法所得，可并处3000元以下的罚款。</w:t>
            </w:r>
          </w:p>
        </w:tc>
        <w:tc>
          <w:tcPr>
            <w:tcW w:w="1935" w:type="dxa"/>
            <w:gridSpan w:val="2"/>
            <w:tcBorders>
              <w:top w:val="single" w:color="auto" w:sz="4" w:space="0"/>
              <w:left w:val="nil"/>
              <w:bottom w:val="single" w:color="auto" w:sz="4" w:space="0"/>
              <w:right w:val="single" w:color="auto" w:sz="4" w:space="0"/>
            </w:tcBorders>
            <w:shd w:val="clear" w:color="auto" w:fill="auto"/>
            <w:vAlign w:val="center"/>
          </w:tcPr>
          <w:p w14:paraId="7B9AEA4E">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苏州市市场监督管理局及各市（区）市场监督管理局</w:t>
            </w:r>
          </w:p>
        </w:tc>
      </w:tr>
      <w:tr w14:paraId="6561E6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4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44701B5F">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9</w:t>
            </w:r>
          </w:p>
        </w:tc>
        <w:tc>
          <w:tcPr>
            <w:tcW w:w="2265" w:type="dxa"/>
            <w:tcBorders>
              <w:top w:val="nil"/>
              <w:left w:val="nil"/>
              <w:bottom w:val="single" w:color="auto" w:sz="4" w:space="0"/>
              <w:right w:val="single" w:color="auto" w:sz="4" w:space="0"/>
            </w:tcBorders>
            <w:shd w:val="clear" w:color="auto" w:fill="auto"/>
            <w:vAlign w:val="center"/>
          </w:tcPr>
          <w:p w14:paraId="06BF0D5D">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查封涉嫌从事无照的场所和查封、扣押涉嫌用于无照经营的工具、设备、原材料、产品(商品)等物品。</w:t>
            </w:r>
          </w:p>
        </w:tc>
        <w:tc>
          <w:tcPr>
            <w:tcW w:w="3386" w:type="dxa"/>
            <w:tcBorders>
              <w:top w:val="nil"/>
              <w:left w:val="nil"/>
              <w:bottom w:val="single" w:color="auto" w:sz="4" w:space="0"/>
              <w:right w:val="single" w:color="auto" w:sz="4" w:space="0"/>
            </w:tcBorders>
            <w:shd w:val="clear" w:color="auto" w:fill="auto"/>
            <w:vAlign w:val="center"/>
          </w:tcPr>
          <w:p w14:paraId="362F36E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2.属不涉及许可事项或者有证无照的无照经营;</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547A0531">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《无证无照经营查处办法》(2017年8月国务院令第684号公布)第十一条第二款对涉嫌从事无照的场所，可以予以查封;对涉嫌用于无照经营的工具、设备、原材料、产品(商品)等物品，可以予以查封、扣押。</w:t>
            </w:r>
          </w:p>
        </w:tc>
        <w:tc>
          <w:tcPr>
            <w:tcW w:w="1935" w:type="dxa"/>
            <w:gridSpan w:val="2"/>
            <w:tcBorders>
              <w:top w:val="nil"/>
              <w:left w:val="nil"/>
              <w:bottom w:val="single" w:color="auto" w:sz="4" w:space="0"/>
              <w:right w:val="single" w:color="auto" w:sz="4" w:space="0"/>
            </w:tcBorders>
            <w:shd w:val="clear" w:color="auto" w:fill="auto"/>
            <w:vAlign w:val="center"/>
          </w:tcPr>
          <w:p w14:paraId="337A909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544178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72C64528">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10</w:t>
            </w:r>
          </w:p>
        </w:tc>
        <w:tc>
          <w:tcPr>
            <w:tcW w:w="2265" w:type="dxa"/>
            <w:tcBorders>
              <w:top w:val="nil"/>
              <w:left w:val="nil"/>
              <w:bottom w:val="single" w:color="auto" w:sz="4" w:space="0"/>
              <w:right w:val="single" w:color="auto" w:sz="4" w:space="0"/>
            </w:tcBorders>
            <w:shd w:val="clear" w:color="auto" w:fill="auto"/>
            <w:vAlign w:val="center"/>
          </w:tcPr>
          <w:p w14:paraId="57B0BD2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查封、扣押涉嫌在广告中使用“国家级”“最高级”“最佳”等用语与违法广告直接相关的广告物品、经营工具、设备等财物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7D5DEC5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2.广告主在自有经营场所或者互联网自媒体发布;</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3499486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6BAB2201">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68C0A9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34555C1C">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11</w:t>
            </w:r>
          </w:p>
        </w:tc>
        <w:tc>
          <w:tcPr>
            <w:tcW w:w="2265" w:type="dxa"/>
            <w:tcBorders>
              <w:top w:val="nil"/>
              <w:left w:val="nil"/>
              <w:bottom w:val="single" w:color="auto" w:sz="4" w:space="0"/>
              <w:right w:val="single" w:color="auto" w:sz="4" w:space="0"/>
            </w:tcBorders>
            <w:shd w:val="clear" w:color="auto" w:fill="auto"/>
            <w:vAlign w:val="center"/>
          </w:tcPr>
          <w:p w14:paraId="7A8F138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查封、扣押涉嫌通过大众传播媒介发布广告未显著标明“广告”与违法广告直接相关的广告物品、经营工具、设备等财物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4CAC51D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1D306743">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17EB01B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6F94AB7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30C64FD8">
            <w:pPr>
              <w:widowControl/>
              <w:numPr>
                <w:numId w:val="0"/>
              </w:numPr>
              <w:ind w:leftChars="0"/>
              <w:jc w:val="left"/>
              <w:rPr>
                <w:rFonts w:hint="eastAsia" w:asciiTheme="minorEastAsia" w:hAnsiTheme="minorEastAsia" w:eastAsiaTheme="minorEastAsia" w:cstheme="minorEastAsia"/>
                <w:color w:val="000000"/>
                <w:kern w:val="0"/>
                <w:sz w:val="22"/>
                <w:szCs w:val="22"/>
                <w:lang w:val="en-US" w:eastAsia="zh-CN"/>
              </w:rPr>
            </w:pPr>
          </w:p>
          <w:p w14:paraId="32BA664B">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12</w:t>
            </w:r>
          </w:p>
        </w:tc>
        <w:tc>
          <w:tcPr>
            <w:tcW w:w="2265" w:type="dxa"/>
            <w:tcBorders>
              <w:top w:val="nil"/>
              <w:left w:val="nil"/>
              <w:bottom w:val="single" w:color="auto" w:sz="4" w:space="0"/>
              <w:right w:val="single" w:color="auto" w:sz="4" w:space="0"/>
            </w:tcBorders>
            <w:shd w:val="clear" w:color="auto" w:fill="auto"/>
            <w:vAlign w:val="center"/>
          </w:tcPr>
          <w:p w14:paraId="25D15C1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查封、扣押涉嫌未标明专利号与违法广告直接相关的广告物品、经营工具、设备等财物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6D59A4E3">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2.专利有效或者及时继费后有效;</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3D8CEEE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5C89D00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33CA43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67C8CB8E">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13</w:t>
            </w:r>
          </w:p>
        </w:tc>
        <w:tc>
          <w:tcPr>
            <w:tcW w:w="2265" w:type="dxa"/>
            <w:tcBorders>
              <w:top w:val="nil"/>
              <w:left w:val="nil"/>
              <w:bottom w:val="single" w:color="auto" w:sz="4" w:space="0"/>
              <w:right w:val="single" w:color="auto" w:sz="4" w:space="0"/>
            </w:tcBorders>
            <w:shd w:val="clear" w:color="auto" w:fill="auto"/>
            <w:vAlign w:val="center"/>
          </w:tcPr>
          <w:p w14:paraId="2CB68049">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查封、扣押涉嫌未在广告中表明出处与违法广告直接相关的广告物品、经营工具、设备等财物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21B44CF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2.广告引证内容真实、准确;</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4FF893A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12A3072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469374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0F827E48">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14</w:t>
            </w:r>
          </w:p>
        </w:tc>
        <w:tc>
          <w:tcPr>
            <w:tcW w:w="2265" w:type="dxa"/>
            <w:tcBorders>
              <w:top w:val="nil"/>
              <w:left w:val="nil"/>
              <w:bottom w:val="single" w:color="auto" w:sz="4" w:space="0"/>
              <w:right w:val="single" w:color="auto" w:sz="4" w:space="0"/>
            </w:tcBorders>
            <w:shd w:val="clear" w:color="auto" w:fill="auto"/>
            <w:vAlign w:val="center"/>
          </w:tcPr>
          <w:p w14:paraId="2D66785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查封、扣押涉嫌广告用语用字未按规定使用普通话和规范汉字与违法广告直接相关的广告物品、经营工具、设备等财物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60D09B2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55082CAC">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2417D2A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358B1E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262007C6">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15</w:t>
            </w:r>
          </w:p>
        </w:tc>
        <w:tc>
          <w:tcPr>
            <w:tcW w:w="2265" w:type="dxa"/>
            <w:tcBorders>
              <w:top w:val="nil"/>
              <w:left w:val="nil"/>
              <w:bottom w:val="single" w:color="auto" w:sz="4" w:space="0"/>
              <w:right w:val="single" w:color="auto" w:sz="4" w:space="0"/>
            </w:tcBorders>
            <w:shd w:val="clear" w:color="auto" w:fill="auto"/>
            <w:vAlign w:val="center"/>
          </w:tcPr>
          <w:p w14:paraId="66B4685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查封、扣押涉嫌发布农药广告未将广告批准文号列为广告内容同时发布与违法广告直接相关的广告物品、经营工具、设备等财物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53C32D11">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2.已取得批准文号;</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1C36F6D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0D353D49">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2F653E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24604E7D">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16</w:t>
            </w:r>
          </w:p>
        </w:tc>
        <w:tc>
          <w:tcPr>
            <w:tcW w:w="2265" w:type="dxa"/>
            <w:tcBorders>
              <w:top w:val="nil"/>
              <w:left w:val="nil"/>
              <w:bottom w:val="single" w:color="auto" w:sz="4" w:space="0"/>
              <w:right w:val="single" w:color="auto" w:sz="4" w:space="0"/>
            </w:tcBorders>
            <w:shd w:val="clear" w:color="auto" w:fill="auto"/>
            <w:vAlign w:val="center"/>
          </w:tcPr>
          <w:p w14:paraId="6760A19B">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查封、扣押涉嫌发布兽药广告未将广告批准文号列为广告内容同时发布与违法广告直接相关的广告物品、经营工具、设备等财物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7AD4C0C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2.已取得批准文号;</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08BE0CCC">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46A5857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3F22D0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693B48FB">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17</w:t>
            </w:r>
          </w:p>
        </w:tc>
        <w:tc>
          <w:tcPr>
            <w:tcW w:w="2265" w:type="dxa"/>
            <w:tcBorders>
              <w:top w:val="nil"/>
              <w:left w:val="nil"/>
              <w:bottom w:val="single" w:color="auto" w:sz="4" w:space="0"/>
              <w:right w:val="single" w:color="auto" w:sz="4" w:space="0"/>
            </w:tcBorders>
            <w:shd w:val="clear" w:color="auto" w:fill="auto"/>
            <w:vAlign w:val="center"/>
          </w:tcPr>
          <w:p w14:paraId="393E331C">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查封、扣押涉嫌超过审批有效期发布医疗、药品、医疗器械、农药、兽药、保健食品广告与违法广告直接相关的广告物品、经营工具、设备等财物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0C9FE223">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2.已过广告审批有效期但逾期未超过三个月;</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2BBCA744">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4DE0B41E">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2F9931A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6B3FD80C">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18</w:t>
            </w:r>
          </w:p>
        </w:tc>
        <w:tc>
          <w:tcPr>
            <w:tcW w:w="2265" w:type="dxa"/>
            <w:tcBorders>
              <w:top w:val="nil"/>
              <w:left w:val="nil"/>
              <w:bottom w:val="single" w:color="auto" w:sz="4" w:space="0"/>
              <w:right w:val="single" w:color="auto" w:sz="4" w:space="0"/>
            </w:tcBorders>
            <w:shd w:val="clear" w:color="auto" w:fill="auto"/>
            <w:vAlign w:val="center"/>
          </w:tcPr>
          <w:p w14:paraId="46DC0BB0">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查封、扣押涉嫌发布医疗广告未标注医疗机构第一名称或《医疗广告审查证明》文号与违法广告直接相关的广告物品、经营工具、设备等财物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26B2F574">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2.系通过广告主自有经营场所或者互联网自媒体发布;</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4BEC6423">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2FCF906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1D79C5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0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159A1464">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19</w:t>
            </w:r>
          </w:p>
        </w:tc>
        <w:tc>
          <w:tcPr>
            <w:tcW w:w="2265" w:type="dxa"/>
            <w:tcBorders>
              <w:top w:val="nil"/>
              <w:left w:val="nil"/>
              <w:bottom w:val="single" w:color="auto" w:sz="4" w:space="0"/>
              <w:right w:val="single" w:color="auto" w:sz="4" w:space="0"/>
            </w:tcBorders>
            <w:shd w:val="clear" w:color="auto" w:fill="auto"/>
            <w:vAlign w:val="center"/>
          </w:tcPr>
          <w:p w14:paraId="192E3CCD">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查封、扣押涉嫌房地产广告未载明预售或者销售许可证书号与违法广告直接相关的广告物品、经营工具、设备等财物</w:t>
            </w:r>
          </w:p>
        </w:tc>
        <w:tc>
          <w:tcPr>
            <w:tcW w:w="3386" w:type="dxa"/>
            <w:tcBorders>
              <w:top w:val="nil"/>
              <w:left w:val="nil"/>
              <w:bottom w:val="single" w:color="auto" w:sz="4" w:space="0"/>
              <w:right w:val="single" w:color="auto" w:sz="4" w:space="0"/>
            </w:tcBorders>
            <w:shd w:val="clear" w:color="auto" w:fill="auto"/>
            <w:vAlign w:val="center"/>
          </w:tcPr>
          <w:p w14:paraId="78240B0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2.已取得预售或者销售许可证;</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622430D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广告法》（1994年10月27日第八届全国人民代表大会常务委员会第十次会议通过，根据2021年4月29日第十三届全国人民代表大会常务委员会第二十八次会议第二次修正）第四十九条，市场监督管理部门履行广告监督管理职责，可以行使下列职权：（五）查封、扣押与涉嫌违法广告直接相关的广告物品、经营工具、设备等财物。《江苏省广告条例》第四十五条  市场监督管理部门在查处涉嫌违法广告和广告活动时，依法行使下列职权：（三）检查与涉嫌违法广告和广告活动有关的场所、财物，查封或者扣押与涉嫌违法广告直接有关的财物</w:t>
            </w:r>
          </w:p>
        </w:tc>
        <w:tc>
          <w:tcPr>
            <w:tcW w:w="1935" w:type="dxa"/>
            <w:gridSpan w:val="2"/>
            <w:tcBorders>
              <w:top w:val="nil"/>
              <w:left w:val="nil"/>
              <w:bottom w:val="single" w:color="auto" w:sz="4" w:space="0"/>
              <w:right w:val="single" w:color="auto" w:sz="4" w:space="0"/>
            </w:tcBorders>
            <w:shd w:val="clear" w:color="auto" w:fill="auto"/>
            <w:vAlign w:val="center"/>
          </w:tcPr>
          <w:p w14:paraId="39DF684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562EA8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1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1CB636DE">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20</w:t>
            </w:r>
          </w:p>
        </w:tc>
        <w:tc>
          <w:tcPr>
            <w:tcW w:w="2265" w:type="dxa"/>
            <w:tcBorders>
              <w:top w:val="nil"/>
              <w:left w:val="nil"/>
              <w:bottom w:val="single" w:color="auto" w:sz="4" w:space="0"/>
              <w:right w:val="single" w:color="auto" w:sz="4" w:space="0"/>
            </w:tcBorders>
            <w:shd w:val="clear" w:color="auto" w:fill="auto"/>
            <w:vAlign w:val="center"/>
          </w:tcPr>
          <w:p w14:paraId="0094B37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查封、扣押标签、说明书违法的食品相关产品；查封违法从事生产经营活动的场所</w:t>
            </w:r>
          </w:p>
        </w:tc>
        <w:tc>
          <w:tcPr>
            <w:tcW w:w="3386" w:type="dxa"/>
            <w:tcBorders>
              <w:top w:val="nil"/>
              <w:left w:val="nil"/>
              <w:bottom w:val="single" w:color="auto" w:sz="4" w:space="0"/>
              <w:right w:val="single" w:color="auto" w:sz="4" w:space="0"/>
            </w:tcBorders>
            <w:shd w:val="clear" w:color="auto" w:fill="auto"/>
            <w:vAlign w:val="center"/>
          </w:tcPr>
          <w:p w14:paraId="4D4A0AD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1.首次被发现;</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2.生产经营的食品、食品添加剂的标签、说明书存在瑕疵，不影响食品安全;</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3.自行纠正或者在责令限期内改正。</w:t>
            </w:r>
          </w:p>
        </w:tc>
        <w:tc>
          <w:tcPr>
            <w:tcW w:w="5952" w:type="dxa"/>
            <w:tcBorders>
              <w:top w:val="nil"/>
              <w:left w:val="nil"/>
              <w:bottom w:val="single" w:color="auto" w:sz="4" w:space="0"/>
              <w:right w:val="single" w:color="auto" w:sz="4" w:space="0"/>
            </w:tcBorders>
            <w:shd w:val="clear" w:color="auto" w:fill="auto"/>
            <w:vAlign w:val="center"/>
          </w:tcPr>
          <w:p w14:paraId="5FBB04C3">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xml:space="preserve">《中华人民共和国食品安全法》第一百一十条  县级以上人民政府食品安全监督管理部门履行食品安全监督管理职责，有权采取下列措施，对生产经营者遵守本法的情况进行监督检查： </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 xml:space="preserve">（四）查封、扣押有证据证明不符合食品安全标准或者有证据证明存在安全隐患以及用于违法生产经营的食品、食品添加剂、食品相关产品； </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（五）查封违法从事生产经营活动的场所。</w:t>
            </w:r>
          </w:p>
        </w:tc>
        <w:tc>
          <w:tcPr>
            <w:tcW w:w="1935" w:type="dxa"/>
            <w:gridSpan w:val="2"/>
            <w:tcBorders>
              <w:top w:val="nil"/>
              <w:left w:val="nil"/>
              <w:bottom w:val="single" w:color="auto" w:sz="4" w:space="0"/>
              <w:right w:val="single" w:color="auto" w:sz="4" w:space="0"/>
            </w:tcBorders>
            <w:shd w:val="clear" w:color="auto" w:fill="auto"/>
            <w:vAlign w:val="center"/>
          </w:tcPr>
          <w:p w14:paraId="2CB9B39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r w14:paraId="25FAAC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140" w:hRule="atLeast"/>
        </w:trPr>
        <w:tc>
          <w:tcPr>
            <w:tcW w:w="883" w:type="dxa"/>
            <w:tcBorders>
              <w:top w:val="nil"/>
              <w:left w:val="single" w:color="auto" w:sz="4" w:space="0"/>
              <w:bottom w:val="single" w:color="auto" w:sz="4" w:space="0"/>
              <w:right w:val="single" w:color="auto" w:sz="4" w:space="0"/>
            </w:tcBorders>
            <w:shd w:val="clear" w:color="auto" w:fill="auto"/>
            <w:vAlign w:val="center"/>
          </w:tcPr>
          <w:p w14:paraId="4A14FB89">
            <w:pPr>
              <w:widowControl/>
              <w:numPr>
                <w:numId w:val="0"/>
              </w:numPr>
              <w:ind w:leftChars="0"/>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21</w:t>
            </w:r>
          </w:p>
        </w:tc>
        <w:tc>
          <w:tcPr>
            <w:tcW w:w="2265" w:type="dxa"/>
            <w:tcBorders>
              <w:top w:val="nil"/>
              <w:left w:val="nil"/>
              <w:bottom w:val="single" w:color="auto" w:sz="4" w:space="0"/>
              <w:right w:val="single" w:color="auto" w:sz="4" w:space="0"/>
            </w:tcBorders>
            <w:shd w:val="clear" w:color="auto" w:fill="auto"/>
            <w:vAlign w:val="center"/>
          </w:tcPr>
          <w:p w14:paraId="7721819B">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查封、扣押经许可使用他人注册商标，但未在商品上标注被许可人的名称和商品产地的物品</w:t>
            </w:r>
          </w:p>
        </w:tc>
        <w:tc>
          <w:tcPr>
            <w:tcW w:w="3386" w:type="dxa"/>
            <w:tcBorders>
              <w:top w:val="nil"/>
              <w:left w:val="nil"/>
              <w:bottom w:val="single" w:color="auto" w:sz="4" w:space="0"/>
              <w:right w:val="single" w:color="auto" w:sz="4" w:space="0"/>
            </w:tcBorders>
            <w:shd w:val="clear" w:color="auto" w:fill="auto"/>
            <w:vAlign w:val="center"/>
          </w:tcPr>
          <w:p w14:paraId="48F22C71">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1.情节轻微；</w:t>
            </w:r>
            <w:r>
              <w:rPr>
                <w:rFonts w:hint="eastAsia" w:asciiTheme="minorEastAsia" w:hAnsiTheme="minorEastAsia" w:eastAsiaTheme="minorEastAsia" w:cstheme="minorEastAsia"/>
                <w:color w:val="000000"/>
                <w:kern w:val="0"/>
                <w:sz w:val="22"/>
                <w:szCs w:val="22"/>
                <w:lang w:val="en-US" w:eastAsia="zh-CN"/>
              </w:rPr>
              <w:br w:type="textWrapping"/>
            </w:r>
            <w:r>
              <w:rPr>
                <w:rFonts w:hint="eastAsia" w:asciiTheme="minorEastAsia" w:hAnsiTheme="minorEastAsia" w:eastAsiaTheme="minorEastAsia" w:cstheme="minorEastAsia"/>
                <w:color w:val="000000"/>
                <w:kern w:val="0"/>
                <w:sz w:val="22"/>
                <w:szCs w:val="22"/>
                <w:lang w:val="en-US" w:eastAsia="zh-CN"/>
              </w:rPr>
              <w:t>2.经责令限期改正后及时改正。</w:t>
            </w:r>
          </w:p>
        </w:tc>
        <w:tc>
          <w:tcPr>
            <w:tcW w:w="5952" w:type="dxa"/>
            <w:tcBorders>
              <w:top w:val="nil"/>
              <w:left w:val="nil"/>
              <w:bottom w:val="single" w:color="auto" w:sz="4" w:space="0"/>
              <w:right w:val="single" w:color="auto" w:sz="4" w:space="0"/>
            </w:tcBorders>
            <w:shd w:val="clear" w:color="auto" w:fill="auto"/>
            <w:vAlign w:val="center"/>
          </w:tcPr>
          <w:p w14:paraId="5DCF8C1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商标法》（1982年8月23日第五届全国人民代表大会常务委员会第二十四次会议通过，根据2019年4月23日第十三届全国人民代表大会常务委员会第十次会议《关于修改〈中华人民共和国建筑法〉等八部法律的决定》第四次修正）第六十二条　县级以上工商行政管理部门根据已经取得的违法嫌疑证据或者举报，对涉嫌侵犯他人注册商标专用权的行为进行查处时，可以行使下列职权：（四）检查与侵权活动有关的物品；对有证据证明是侵犯他人注册商标专用权的物品，可以查封或者扣押。</w:t>
            </w:r>
          </w:p>
        </w:tc>
        <w:tc>
          <w:tcPr>
            <w:tcW w:w="1935" w:type="dxa"/>
            <w:gridSpan w:val="2"/>
            <w:tcBorders>
              <w:top w:val="nil"/>
              <w:left w:val="nil"/>
              <w:bottom w:val="single" w:color="auto" w:sz="4" w:space="0"/>
              <w:right w:val="single" w:color="auto" w:sz="4" w:space="0"/>
            </w:tcBorders>
            <w:shd w:val="clear" w:color="auto" w:fill="auto"/>
            <w:vAlign w:val="center"/>
          </w:tcPr>
          <w:p w14:paraId="332353E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苏州市市场监督管理局及各市（区）市场监督管理局</w:t>
            </w:r>
          </w:p>
        </w:tc>
      </w:tr>
    </w:tbl>
    <w:p w14:paraId="481CA536">
      <w:pPr>
        <w:pStyle w:val="11"/>
        <w:kinsoku w:val="0"/>
        <w:overflowPunct w:val="0"/>
        <w:rPr>
          <w:rFonts w:hint="default" w:ascii="仿宋_GB2312" w:hAnsi="宋体" w:eastAsia="仿宋_GB2312" w:cs="宋体"/>
          <w:color w:val="000000"/>
          <w:kern w:val="0"/>
          <w:sz w:val="20"/>
          <w:szCs w:val="22"/>
          <w:lang w:val="en-US" w:eastAsia="zh-CN" w:bidi="ar-SA"/>
        </w:rPr>
      </w:pPr>
    </w:p>
    <w:p w14:paraId="316E3408">
      <w:pPr>
        <w:pStyle w:val="11"/>
        <w:kinsoku w:val="0"/>
        <w:overflowPunct w:val="0"/>
        <w:rPr>
          <w:rFonts w:hint="default" w:ascii="仿宋_GB2312" w:hAnsi="宋体" w:eastAsia="仿宋_GB2312" w:cs="宋体"/>
          <w:color w:val="000000"/>
          <w:kern w:val="0"/>
          <w:sz w:val="20"/>
          <w:szCs w:val="22"/>
          <w:lang w:val="en-US" w:eastAsia="zh-CN" w:bidi="ar-SA"/>
        </w:rPr>
      </w:pPr>
    </w:p>
    <w:p w14:paraId="42CFBF6C">
      <w:pPr>
        <w:rPr>
          <w:rFonts w:hint="default"/>
          <w:sz w:val="24"/>
          <w:szCs w:val="24"/>
        </w:rPr>
        <w:sectPr>
          <w:footerReference r:id="rId3" w:type="default"/>
          <w:pgSz w:w="16840" w:h="11910" w:orient="landscape"/>
          <w:pgMar w:top="1100" w:right="1260" w:bottom="1280" w:left="1260" w:header="0" w:footer="1098" w:gutter="0"/>
          <w:lnNumType w:countBy="0" w:distance="360"/>
          <w:cols w:space="720" w:num="1"/>
        </w:sectPr>
      </w:pPr>
    </w:p>
    <w:tbl>
      <w:tblPr>
        <w:tblStyle w:val="7"/>
        <w:tblW w:w="1442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883"/>
        <w:gridCol w:w="2081"/>
        <w:gridCol w:w="3400"/>
        <w:gridCol w:w="5934"/>
        <w:gridCol w:w="2130"/>
      </w:tblGrid>
      <w:tr w14:paraId="3A1A76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11" w:hRule="atLeast"/>
          <w:jc w:val="center"/>
        </w:trPr>
        <w:tc>
          <w:tcPr>
            <w:tcW w:w="883" w:type="dxa"/>
            <w:noWrap w:val="0"/>
            <w:vAlign w:val="center"/>
          </w:tcPr>
          <w:p w14:paraId="5D2E2CA8">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22</w:t>
            </w:r>
          </w:p>
        </w:tc>
        <w:tc>
          <w:tcPr>
            <w:tcW w:w="2081" w:type="dxa"/>
            <w:noWrap w:val="0"/>
            <w:vAlign w:val="center"/>
          </w:tcPr>
          <w:p w14:paraId="21BE473C">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查封扣押</w:t>
            </w:r>
          </w:p>
        </w:tc>
        <w:tc>
          <w:tcPr>
            <w:tcW w:w="3400" w:type="dxa"/>
            <w:noWrap w:val="0"/>
            <w:vAlign w:val="center"/>
          </w:tcPr>
          <w:p w14:paraId="5543E8C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排污单位违反法律法规规定排放污染物，立即停止并改正违法行为，丧失查封扣押必要性的</w:t>
            </w:r>
          </w:p>
        </w:tc>
        <w:tc>
          <w:tcPr>
            <w:tcW w:w="5934" w:type="dxa"/>
            <w:noWrap w:val="0"/>
            <w:vAlign w:val="center"/>
          </w:tcPr>
          <w:p w14:paraId="583E8AB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环境保护法》第二十五条：“企业事业单位和其他生产经营者违反法律法规规定排放污染物，造成或者可能造成严重污染的，县级以上人民政府环境保护主管部门和其他负有环境保护监督管理职责的部门，可以查封、扣押造成污染物排放的设施、设备。”</w:t>
            </w:r>
          </w:p>
          <w:p w14:paraId="47D32A63">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大气污染防治法》第三十条：“企业事业单位和其他生产经营者违反法律法规规定排放大气污染物，造成或者可能造成严重大气污染，或者有关证据可能灭失或者被隐匿的，县级以上人民政府生态环境主管部门和其他负有大气环境保护监督管理职责的部门，可以对有关设施、设备、物品采取查封、扣押等行政强制措施。”</w:t>
            </w:r>
          </w:p>
          <w:p w14:paraId="219F1D90">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固体废物污染环境防治法》第二十七条：“有下列情形之一，生态环境主管部门和其他负有固体废物污染环境防治监督管理职责的部门，可以对违法收集、贮存、运输、利用、处置的固体废物及设施、设备、场所、工具、物品予以查封、扣押：（一）可能造成证据灭失、被隐匿或者非法转移的；（二）造成或者可能造成严重环境污染的。”</w:t>
            </w:r>
          </w:p>
          <w:p w14:paraId="0DC9A30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土壤污染防治法》第七十八条：“企业事业单位和其他生产经营者违反法律法规规定排放有毒有害物质，造成或者可能造成严重土壤污染的，或者有关证据可能灭失或者被隐匿的，生态环境主管部门和其他负有土壤污染防治监督管理职责的部门，可以查封、扣押有关设施、设备、物品。”</w:t>
            </w:r>
          </w:p>
          <w:p w14:paraId="710410A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噪声污染防治法》第三十条：“排放噪声造成严重污染，被责令改正拒不改正的，生态环境主管部门或者其他负有噪声污染防治监督管理职责的部门，可以查封、扣押排放噪声的场所、设施、设备、工具和物品。”</w:t>
            </w:r>
          </w:p>
          <w:p w14:paraId="1577FA09">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《中华人民共和国行政强制法》第十六条第二款：“违法行为情节显著轻微或者没有明显社会危害的，可以不采取行政强制措施。”</w:t>
            </w:r>
          </w:p>
        </w:tc>
        <w:tc>
          <w:tcPr>
            <w:tcW w:w="2130" w:type="dxa"/>
            <w:noWrap w:val="0"/>
            <w:vAlign w:val="center"/>
          </w:tcPr>
          <w:p w14:paraId="5E22CF01">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苏州市生态环境局</w:t>
            </w:r>
          </w:p>
        </w:tc>
      </w:tr>
    </w:tbl>
    <w:p w14:paraId="2CC601C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1714FD3-C2E2-49C9-8858-45B252A64E16}"/>
  </w:font>
  <w:font w:name="Arial">
    <w:panose1 w:val="020B0604020202020204"/>
    <w:charset w:val="01"/>
    <w:family w:val="swiss"/>
    <w:pitch w:val="default"/>
    <w:sig w:usb0="E0002AFF" w:usb1="C0007843" w:usb2="00000009" w:usb3="00000000" w:csb0="400001FF" w:csb1="FFFF0000"/>
    <w:embedRegular r:id="rId2" w:fontKey="{6D7D96EF-DDEB-4A48-ADF7-6D2187C5DC0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480B6D79-A699-4D5D-BFF5-F8198158116F}"/>
  </w:font>
  <w:font w:name="Symbol">
    <w:panose1 w:val="05050102010706020507"/>
    <w:charset w:val="02"/>
    <w:family w:val="roman"/>
    <w:pitch w:val="default"/>
    <w:sig w:usb0="00000000" w:usb1="00000000" w:usb2="00000000" w:usb3="00000000" w:csb0="80000000" w:csb1="00000000"/>
    <w:embedRegular r:id="rId4" w:fontKey="{4072BC19-2966-42CD-A7D4-2FEFCC665A08}"/>
  </w:font>
  <w:font w:name="Calibri">
    <w:panose1 w:val="020F0502020204030204"/>
    <w:charset w:val="00"/>
    <w:family w:val="swiss"/>
    <w:pitch w:val="default"/>
    <w:sig w:usb0="E00002FF" w:usb1="4000ACFF" w:usb2="00000001" w:usb3="00000000" w:csb0="2000019F" w:csb1="00000000"/>
    <w:embedRegular r:id="rId5" w:fontKey="{1F8BDC53-37C7-4632-9B81-7AF1A8B0F77B}"/>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6" w:fontKey="{CF161F90-783B-4E75-B375-509D96F4A8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883C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7C09C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7C09C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D232EB"/>
    <w:multiLevelType w:val="singleLevel"/>
    <w:tmpl w:val="56D232EB"/>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84F"/>
    <w:rsid w:val="002A77EE"/>
    <w:rsid w:val="0035484F"/>
    <w:rsid w:val="005417BA"/>
    <w:rsid w:val="006C212C"/>
    <w:rsid w:val="008C2283"/>
    <w:rsid w:val="00C82930"/>
    <w:rsid w:val="00DD7AB1"/>
    <w:rsid w:val="00E12AF2"/>
    <w:rsid w:val="03042707"/>
    <w:rsid w:val="0A0538F8"/>
    <w:rsid w:val="0DC22552"/>
    <w:rsid w:val="0F763E6D"/>
    <w:rsid w:val="12323A0D"/>
    <w:rsid w:val="13D15990"/>
    <w:rsid w:val="18CC1C0D"/>
    <w:rsid w:val="28AB5882"/>
    <w:rsid w:val="2ADA1594"/>
    <w:rsid w:val="2D3F23A5"/>
    <w:rsid w:val="30EF56FE"/>
    <w:rsid w:val="33B970C5"/>
    <w:rsid w:val="38DA47D5"/>
    <w:rsid w:val="3B2C6C17"/>
    <w:rsid w:val="3B9926CD"/>
    <w:rsid w:val="403A5FE4"/>
    <w:rsid w:val="457623E5"/>
    <w:rsid w:val="4B7062E5"/>
    <w:rsid w:val="4C1F7098"/>
    <w:rsid w:val="4E4629B8"/>
    <w:rsid w:val="51743A7C"/>
    <w:rsid w:val="545F71FB"/>
    <w:rsid w:val="54E553FF"/>
    <w:rsid w:val="55344AA7"/>
    <w:rsid w:val="5D2F1250"/>
    <w:rsid w:val="5F420A59"/>
    <w:rsid w:val="68581C2D"/>
    <w:rsid w:val="7A553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unhideWhenUsed/>
    <w:qFormat/>
    <w:uiPriority w:val="1"/>
    <w:pPr>
      <w:ind w:left="95"/>
      <w:outlineLvl w:val="0"/>
    </w:pPr>
    <w:rPr>
      <w:rFonts w:hint="eastAsia" w:ascii="方正小标宋简体" w:hAnsi="方正小标宋简体" w:eastAsia="方正小标宋简体"/>
      <w:sz w:val="44"/>
      <w:szCs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unhideWhenUsed/>
    <w:qFormat/>
    <w:uiPriority w:val="1"/>
    <w:pPr>
      <w:ind w:left="931"/>
    </w:pPr>
    <w:rPr>
      <w:rFonts w:hint="eastAsia" w:ascii="宋体" w:hAnsi="宋体" w:eastAsia="宋体"/>
      <w:sz w:val="21"/>
      <w:szCs w:val="24"/>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eastAsia="宋体"/>
      <w:spacing w:val="0"/>
      <w:kern w:val="0"/>
      <w:sz w:val="21"/>
      <w:szCs w:val="21"/>
    </w:rPr>
  </w:style>
  <w:style w:type="character" w:customStyle="1" w:styleId="9">
    <w:name w:val="页眉 字符"/>
    <w:basedOn w:val="8"/>
    <w:link w:val="5"/>
    <w:qFormat/>
    <w:uiPriority w:val="0"/>
    <w:rPr>
      <w:rFonts w:ascii="Calibri" w:hAnsi="Calibri"/>
      <w:kern w:val="2"/>
      <w:sz w:val="18"/>
      <w:szCs w:val="18"/>
    </w:rPr>
  </w:style>
  <w:style w:type="character" w:customStyle="1" w:styleId="10">
    <w:name w:val="页脚 字符"/>
    <w:basedOn w:val="8"/>
    <w:link w:val="4"/>
    <w:qFormat/>
    <w:uiPriority w:val="0"/>
    <w:rPr>
      <w:rFonts w:ascii="Calibri" w:hAnsi="Calibri"/>
      <w:kern w:val="2"/>
      <w:sz w:val="18"/>
      <w:szCs w:val="18"/>
    </w:rPr>
  </w:style>
  <w:style w:type="paragraph" w:customStyle="1" w:styleId="11">
    <w:name w:val="Table Paragraph"/>
    <w:basedOn w:val="1"/>
    <w:unhideWhenUsed/>
    <w:qFormat/>
    <w:uiPriority w:val="1"/>
    <w:rPr>
      <w:rFonts w:hint="default"/>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Pages>
  <Words>7926</Words>
  <Characters>8083</Characters>
  <Lines>21</Lines>
  <Paragraphs>6</Paragraphs>
  <TotalTime>10</TotalTime>
  <ScaleCrop>false</ScaleCrop>
  <LinksUpToDate>false</LinksUpToDate>
  <CharactersWithSpaces>8200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2021-02-01T07:29:00Z</dcterms:created>
  <dc:creator>Administrator</dc:creator>
  <cp:lastModifiedBy>林爷</cp:lastModifiedBy>
  <cp:lastPrinted>2025-08-28T06:27:00Z</cp:lastPrinted>
  <dcterms:modified xsi:type="dcterms:W3CDTF">2026-01-19T03:47:42Z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SaveFontToCloudKey">
    <vt:lpwstr>263566976_embed</vt:lpwstr>
  </property>
  <property fmtid="{D5CDD505-2E9C-101B-9397-08002B2CF9AE}" pid="4" name="ICV">
    <vt:lpwstr>DF11EBDD3B944D75BADE8D0D464DBAD4_13</vt:lpwstr>
  </property>
  <property fmtid="{D5CDD505-2E9C-101B-9397-08002B2CF9AE}" pid="5" name="KSOTemplateDocerSaveRecord">
    <vt:lpwstr>eyJoZGlkIjoiNDkwZGE2ZjY4N2NkZTVmYmNkMzJjZWUwYWJmZjkzNzciLCJ1c2VySWQiOiIzNzIyMTYzOTYifQ==</vt:lpwstr>
  </property>
</Properties>
</file>