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1406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3112"/>
        <w:gridCol w:w="2693"/>
        <w:gridCol w:w="5812"/>
        <w:gridCol w:w="2017"/>
      </w:tblGrid>
      <w:tr w14:paraId="6F52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066" w:type="dxa"/>
            <w:gridSpan w:val="5"/>
            <w:tcBorders>
              <w:top w:val="nil"/>
              <w:left w:val="nil"/>
              <w:right w:val="nil"/>
            </w:tcBorders>
          </w:tcPr>
          <w:p w14:paraId="72CC79BB">
            <w:pPr>
              <w:widowControl/>
              <w:jc w:val="center"/>
              <w:rPr>
                <w:rFonts w:hint="eastAsia" w:asciiTheme="minorEastAsia" w:hAnsiTheme="minorEastAsia" w:eastAsiaTheme="minorEastAsia" w:cstheme="minorEastAsia"/>
                <w:spacing w:val="-2"/>
                <w:kern w:val="0"/>
                <w:sz w:val="44"/>
                <w:szCs w:val="44"/>
              </w:rPr>
            </w:pPr>
          </w:p>
          <w:p w14:paraId="2B068B30">
            <w:pPr>
              <w:widowControl/>
              <w:jc w:val="center"/>
              <w:rPr>
                <w:rFonts w:hint="eastAsia" w:ascii="方正小标宋_GBK" w:hAnsi="方正小标宋_GBK" w:eastAsia="方正小标宋_GBK" w:cs="方正小标宋_GBK"/>
                <w:spacing w:val="-2"/>
                <w:kern w:val="0"/>
                <w:sz w:val="48"/>
                <w:szCs w:val="48"/>
              </w:rPr>
            </w:pPr>
            <w:r>
              <w:rPr>
                <w:rFonts w:hint="eastAsia" w:ascii="方正小标宋_GBK" w:hAnsi="方正小标宋_GBK" w:eastAsia="方正小标宋_GBK" w:cs="方正小标宋_GBK"/>
                <w:sz w:val="48"/>
                <w:szCs w:val="48"/>
                <w:lang w:val="en-US" w:eastAsia="zh-CN"/>
              </w:rPr>
              <w:t>2025版</w:t>
            </w:r>
            <w:r>
              <w:rPr>
                <w:rFonts w:hint="eastAsia" w:ascii="方正小标宋_GBK" w:hAnsi="方正小标宋_GBK" w:eastAsia="方正小标宋_GBK" w:cs="方正小标宋_GBK"/>
                <w:sz w:val="48"/>
                <w:szCs w:val="48"/>
              </w:rPr>
              <w:t>涉企轻微违法行为不予行政处罚清单（</w:t>
            </w:r>
            <w:r>
              <w:rPr>
                <w:rFonts w:hint="eastAsia" w:ascii="方正小标宋_GBK" w:hAnsi="方正小标宋_GBK" w:eastAsia="方正小标宋_GBK" w:cs="方正小标宋_GBK"/>
                <w:b w:val="0"/>
                <w:bCs w:val="0"/>
                <w:sz w:val="48"/>
                <w:szCs w:val="48"/>
                <w:lang w:val="en-US" w:eastAsia="zh-CN"/>
              </w:rPr>
              <w:t>411</w:t>
            </w:r>
            <w:bookmarkStart w:id="11" w:name="_GoBack"/>
            <w:bookmarkEnd w:id="11"/>
            <w:r>
              <w:rPr>
                <w:rFonts w:hint="eastAsia" w:ascii="方正小标宋_GBK" w:hAnsi="方正小标宋_GBK" w:eastAsia="方正小标宋_GBK" w:cs="方正小标宋_GBK"/>
                <w:sz w:val="48"/>
                <w:szCs w:val="48"/>
              </w:rPr>
              <w:t>项）</w:t>
            </w:r>
          </w:p>
          <w:p w14:paraId="4EE8676A">
            <w:pPr>
              <w:widowControl/>
              <w:rPr>
                <w:rFonts w:hint="eastAsia" w:asciiTheme="minorEastAsia" w:hAnsiTheme="minorEastAsia" w:eastAsiaTheme="minorEastAsia" w:cstheme="minorEastAsia"/>
                <w:spacing w:val="-2"/>
                <w:kern w:val="0"/>
                <w:sz w:val="32"/>
                <w:szCs w:val="32"/>
              </w:rPr>
            </w:pPr>
          </w:p>
        </w:tc>
      </w:tr>
      <w:tr w14:paraId="0C1C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432" w:type="dxa"/>
            <w:vAlign w:val="center"/>
          </w:tcPr>
          <w:p w14:paraId="10E05628">
            <w:pPr>
              <w:widowControl/>
              <w:jc w:val="center"/>
              <w:textAlignment w:val="center"/>
              <w:rPr>
                <w:rFonts w:hint="eastAsia" w:ascii="仿宋_GB2312" w:hAnsi="Calibri" w:eastAsia="仿宋_GB2312" w:cs="Times New Roman"/>
                <w:b/>
                <w:sz w:val="32"/>
                <w:szCs w:val="32"/>
              </w:rPr>
            </w:pPr>
            <w:r>
              <w:rPr>
                <w:rFonts w:hint="eastAsia" w:ascii="仿宋_GB2312" w:hAnsi="Calibri" w:eastAsia="仿宋_GB2312" w:cs="Times New Roman"/>
                <w:b/>
                <w:sz w:val="32"/>
                <w:szCs w:val="32"/>
              </w:rPr>
              <w:t>序号</w:t>
            </w:r>
          </w:p>
        </w:tc>
        <w:tc>
          <w:tcPr>
            <w:tcW w:w="3112" w:type="dxa"/>
            <w:vAlign w:val="center"/>
          </w:tcPr>
          <w:p w14:paraId="6122FBA2">
            <w:pPr>
              <w:widowControl/>
              <w:jc w:val="center"/>
              <w:textAlignment w:val="center"/>
              <w:rPr>
                <w:rFonts w:hint="eastAsia" w:ascii="仿宋_GB2312" w:hAnsi="Calibri" w:eastAsia="仿宋_GB2312" w:cs="Times New Roman"/>
                <w:b/>
                <w:sz w:val="32"/>
                <w:szCs w:val="32"/>
              </w:rPr>
            </w:pPr>
            <w:r>
              <w:rPr>
                <w:rFonts w:hint="eastAsia" w:ascii="仿宋_GB2312" w:hAnsi="Calibri" w:eastAsia="仿宋_GB2312" w:cs="Times New Roman"/>
                <w:b/>
                <w:sz w:val="32"/>
                <w:szCs w:val="32"/>
              </w:rPr>
              <w:t>违法行为（列举）</w:t>
            </w:r>
          </w:p>
        </w:tc>
        <w:tc>
          <w:tcPr>
            <w:tcW w:w="2693" w:type="dxa"/>
            <w:vAlign w:val="center"/>
          </w:tcPr>
          <w:p w14:paraId="63B0FA58">
            <w:pPr>
              <w:widowControl/>
              <w:jc w:val="center"/>
              <w:textAlignment w:val="center"/>
              <w:rPr>
                <w:rFonts w:hint="eastAsia" w:ascii="仿宋_GB2312" w:hAnsi="Calibri" w:eastAsia="仿宋_GB2312" w:cs="Times New Roman"/>
                <w:b/>
                <w:sz w:val="32"/>
                <w:szCs w:val="32"/>
              </w:rPr>
            </w:pPr>
            <w:r>
              <w:rPr>
                <w:rFonts w:hint="eastAsia" w:ascii="仿宋_GB2312" w:hAnsi="Calibri" w:eastAsia="仿宋_GB2312" w:cs="Times New Roman"/>
                <w:b/>
                <w:sz w:val="32"/>
                <w:szCs w:val="32"/>
              </w:rPr>
              <w:t>不予处罚条件</w:t>
            </w:r>
          </w:p>
        </w:tc>
        <w:tc>
          <w:tcPr>
            <w:tcW w:w="5812" w:type="dxa"/>
            <w:vAlign w:val="center"/>
          </w:tcPr>
          <w:p w14:paraId="5FB47876">
            <w:pPr>
              <w:widowControl/>
              <w:jc w:val="center"/>
              <w:textAlignment w:val="center"/>
              <w:rPr>
                <w:rFonts w:hint="eastAsia" w:ascii="仿宋_GB2312" w:hAnsi="Calibri" w:eastAsia="仿宋_GB2312" w:cs="Times New Roman"/>
                <w:b/>
                <w:sz w:val="32"/>
                <w:szCs w:val="32"/>
              </w:rPr>
            </w:pPr>
            <w:r>
              <w:rPr>
                <w:rFonts w:hint="eastAsia" w:ascii="仿宋_GB2312" w:hAnsi="Calibri" w:eastAsia="仿宋_GB2312" w:cs="Times New Roman"/>
                <w:b/>
                <w:sz w:val="32"/>
                <w:szCs w:val="32"/>
              </w:rPr>
              <w:t>法 律 依 据</w:t>
            </w:r>
          </w:p>
        </w:tc>
        <w:tc>
          <w:tcPr>
            <w:tcW w:w="2017" w:type="dxa"/>
            <w:vAlign w:val="center"/>
          </w:tcPr>
          <w:p w14:paraId="0E7C90A5">
            <w:pPr>
              <w:widowControl/>
              <w:jc w:val="center"/>
              <w:textAlignment w:val="center"/>
              <w:rPr>
                <w:rFonts w:hint="eastAsia" w:ascii="仿宋_GB2312" w:hAnsi="Calibri" w:eastAsia="仿宋_GB2312" w:cs="Times New Roman"/>
                <w:b/>
                <w:sz w:val="32"/>
                <w:szCs w:val="32"/>
              </w:rPr>
            </w:pPr>
            <w:r>
              <w:rPr>
                <w:rFonts w:hint="eastAsia" w:ascii="仿宋_GB2312" w:hAnsi="Calibri" w:eastAsia="仿宋_GB2312" w:cs="Times New Roman"/>
                <w:b/>
                <w:sz w:val="32"/>
                <w:szCs w:val="32"/>
              </w:rPr>
              <w:t>实施主体</w:t>
            </w:r>
          </w:p>
        </w:tc>
      </w:tr>
      <w:tr w14:paraId="284C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shd w:val="clear" w:color="auto" w:fill="auto"/>
            <w:vAlign w:val="center"/>
          </w:tcPr>
          <w:p w14:paraId="742DF9F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1</w:t>
            </w:r>
          </w:p>
        </w:tc>
        <w:tc>
          <w:tcPr>
            <w:tcW w:w="3112" w:type="dxa"/>
            <w:shd w:val="clear" w:color="auto" w:fill="auto"/>
            <w:vAlign w:val="center"/>
          </w:tcPr>
          <w:p w14:paraId="3023AC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档案中介服务机构未按照规定备案</w:t>
            </w:r>
          </w:p>
        </w:tc>
        <w:tc>
          <w:tcPr>
            <w:tcW w:w="2693" w:type="dxa"/>
            <w:shd w:val="clear" w:color="auto" w:fill="auto"/>
            <w:vAlign w:val="center"/>
          </w:tcPr>
          <w:p w14:paraId="518DEE4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（1）首次被发现未依规进行备案；（2）未备案但规范从事档案服务工作，且在服务过程中未出现《中华人民共和国档案法》第四十八、五十条规定的相应情形；（3）及时纠正违法行为，依规进行登记备案。</w:t>
            </w:r>
          </w:p>
        </w:tc>
        <w:tc>
          <w:tcPr>
            <w:tcW w:w="5812" w:type="dxa"/>
            <w:shd w:val="clear" w:color="auto" w:fill="auto"/>
            <w:vAlign w:val="center"/>
          </w:tcPr>
          <w:p w14:paraId="541DB57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《苏州市档案条例》第六条规定：“市、县级市（区）档案行政管理部门主管本行政区域内的档案工作，负责档案工作的统筹规划、组织协调、监督和指导。”</w:t>
            </w:r>
          </w:p>
          <w:p w14:paraId="059B7A7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档案条例》第十二条规定：“档案中介服务机构应当依法设立，并自设立后一个月内向档案行政管理部门办理备案手续。非本市档案中介服务机构来本市开展档案中介服务的，应当持营业执照等相关材料，向本市档案行政管理部门办理备案手续。档案中介服务机构从事档案整理、鉴定、寄存、数字化转换等服务，应当接受档案行政管理部门的监督和指导。”</w:t>
            </w:r>
          </w:p>
          <w:p w14:paraId="1872148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《苏州市档案条例》第四十一条规定：“档案中介服务机构未按照规定备案的，由档案行政管理部门责令限期改正；有违法所得的，没收违法所得。”</w:t>
            </w:r>
          </w:p>
          <w:p w14:paraId="24E20CC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《行政处罚法》第三十三条第一款规定：“违法行为轻微并及时改正，没有造成危害后果的，不予行政处罚。初次违法且危害后果轻微并及时改正的，可以不予行政处罚。”</w:t>
            </w:r>
          </w:p>
        </w:tc>
        <w:tc>
          <w:tcPr>
            <w:tcW w:w="2017" w:type="dxa"/>
            <w:shd w:val="clear" w:color="auto" w:fill="auto"/>
            <w:vAlign w:val="center"/>
          </w:tcPr>
          <w:p w14:paraId="5D9D17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苏州市档案局；各县级市（区）档案局</w:t>
            </w:r>
          </w:p>
        </w:tc>
      </w:tr>
      <w:tr w14:paraId="1962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5889F5E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p>
        </w:tc>
        <w:tc>
          <w:tcPr>
            <w:tcW w:w="3112" w:type="dxa"/>
            <w:vAlign w:val="center"/>
          </w:tcPr>
          <w:p w14:paraId="449A10C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服务场所从业人员在营业期间未统一佩带工作标志</w:t>
            </w:r>
          </w:p>
        </w:tc>
        <w:tc>
          <w:tcPr>
            <w:tcW w:w="2693" w:type="dxa"/>
            <w:vAlign w:val="center"/>
          </w:tcPr>
          <w:p w14:paraId="2975509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初次违反</w:t>
            </w:r>
          </w:p>
        </w:tc>
        <w:tc>
          <w:tcPr>
            <w:tcW w:w="5812" w:type="dxa"/>
            <w:vAlign w:val="center"/>
          </w:tcPr>
          <w:p w14:paraId="783F632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【地方性法规】《江苏省公共场所治安管理条例》</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第十一条  娱乐、服务场所除符合本条例第十条规定外，还应当具备下列条件：</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(四)营业期间，从业人员应当统一佩带工作标志，娱乐场所从业人员还应当统一着工作服;</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第二十五条第二款  服务场所从业人员在营业期间未统一佩带工作标志的，由公安机关责令该场所限期改正;逾期未改正的，给予警告，并可以视情节轻重处二百元以上二千元以下罚款。</w:t>
            </w:r>
          </w:p>
        </w:tc>
        <w:tc>
          <w:tcPr>
            <w:tcW w:w="2017" w:type="dxa"/>
            <w:vAlign w:val="center"/>
          </w:tcPr>
          <w:p w14:paraId="35DAF70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公安机关</w:t>
            </w:r>
          </w:p>
        </w:tc>
      </w:tr>
      <w:tr w14:paraId="32C6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2A6AAC3F">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w:t>
            </w:r>
          </w:p>
        </w:tc>
        <w:tc>
          <w:tcPr>
            <w:tcW w:w="3112" w:type="dxa"/>
            <w:vAlign w:val="center"/>
          </w:tcPr>
          <w:p w14:paraId="255C183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公共场所经营者未按规定向派出所履行告知义务</w:t>
            </w:r>
          </w:p>
        </w:tc>
        <w:tc>
          <w:tcPr>
            <w:tcW w:w="2693" w:type="dxa"/>
            <w:vAlign w:val="center"/>
          </w:tcPr>
          <w:p w14:paraId="4877BDA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初次违反</w:t>
            </w:r>
          </w:p>
        </w:tc>
        <w:tc>
          <w:tcPr>
            <w:tcW w:w="5812" w:type="dxa"/>
            <w:vAlign w:val="center"/>
          </w:tcPr>
          <w:p w14:paraId="3146079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【地方性法规】《江苏省公共场所治安管理条例》</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第十六条  设立本条例第二条第一款第二项至第四项规定的营业性公共场所的，经营者应当在领取营业执照后五个工作日内，书面告知所在地公安派出所，并提供下列材料原件及复印件：</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(一)营业执照；(二)治安责任人的身份证件。</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前款规定的公共场所变更名称、地址、法定代表人或者经营负责人、经营范围以及其他重要事项的，经营者应当在变更后三个工作日内按照前款规定书面告知所在地公安派出所。</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服务场所应当如实登记雇用从业人员的基本情况和变动情况，并应当在雇用或者变动后三个工作日内书面告知所在地公安派出所。</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第二十四条  公共场所经营者违反本条例第十条第二项和第五项、第十二条第一项和第二项、第十三条第一款第一项至第三项规定的，由公安机关责令限期改正；逾期未改正的，给予警告，并可以视情节轻重处二百元以上二千元以下罚款。</w:t>
            </w:r>
          </w:p>
          <w:p w14:paraId="05B68F9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公共场所经营者违反本条例第十五条、第十六条规定，未向公安机关备案或者书面告知公安机关的，由县级公安机关责令改正，给予警告。</w:t>
            </w:r>
          </w:p>
        </w:tc>
        <w:tc>
          <w:tcPr>
            <w:tcW w:w="2017" w:type="dxa"/>
            <w:vAlign w:val="center"/>
          </w:tcPr>
          <w:p w14:paraId="56B1479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公安机关</w:t>
            </w:r>
          </w:p>
        </w:tc>
      </w:tr>
      <w:tr w14:paraId="05D5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25AC63FA">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w:t>
            </w:r>
          </w:p>
        </w:tc>
        <w:tc>
          <w:tcPr>
            <w:tcW w:w="3112" w:type="dxa"/>
            <w:vAlign w:val="center"/>
          </w:tcPr>
          <w:p w14:paraId="050FBDF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拒不补齐娱乐场所备案项目</w:t>
            </w:r>
          </w:p>
        </w:tc>
        <w:tc>
          <w:tcPr>
            <w:tcW w:w="2693" w:type="dxa"/>
            <w:vAlign w:val="center"/>
          </w:tcPr>
          <w:p w14:paraId="357DBFC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初次违反</w:t>
            </w:r>
          </w:p>
        </w:tc>
        <w:tc>
          <w:tcPr>
            <w:tcW w:w="5812" w:type="dxa"/>
            <w:vAlign w:val="center"/>
          </w:tcPr>
          <w:p w14:paraId="4F0E4AB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【规章】《娱乐场所治安管理办法》（公安部令第103号）</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第四十一条第一款  娱乐场所未按照本办法规定项目备案的，由受理备案的公安机关告知补齐；拒不补齐的，由受理备案的公安机关责令改正，给予警告。 </w:t>
            </w:r>
          </w:p>
        </w:tc>
        <w:tc>
          <w:tcPr>
            <w:tcW w:w="2017" w:type="dxa"/>
            <w:vAlign w:val="center"/>
          </w:tcPr>
          <w:p w14:paraId="4DA7B53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公安机关</w:t>
            </w:r>
          </w:p>
        </w:tc>
      </w:tr>
      <w:tr w14:paraId="5A1C5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12BD43C8">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w:t>
            </w:r>
          </w:p>
        </w:tc>
        <w:tc>
          <w:tcPr>
            <w:tcW w:w="3112" w:type="dxa"/>
            <w:vAlign w:val="center"/>
          </w:tcPr>
          <w:p w14:paraId="67237A3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网络运营者未按照规定要求用户提供真实身份信息，或者对不提供真实身份信息的用户提供相关服务</w:t>
            </w:r>
          </w:p>
        </w:tc>
        <w:tc>
          <w:tcPr>
            <w:tcW w:w="2693" w:type="dxa"/>
            <w:vAlign w:val="center"/>
          </w:tcPr>
          <w:p w14:paraId="20DDC7B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初次违反，且未导致危害后果或不良社会影响</w:t>
            </w:r>
          </w:p>
        </w:tc>
        <w:tc>
          <w:tcPr>
            <w:tcW w:w="5812" w:type="dxa"/>
            <w:vAlign w:val="center"/>
          </w:tcPr>
          <w:p w14:paraId="0E2D92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【法律】《中华人民共和国网络安全法》 </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第二十四条第一款 网络运营者为用户办理网络接入、域名注册服务，办理固定电话、移动电话等入网手续，或者为用户提供信息发布、即时通讯等服务，在与用户签订协议或者确认提供服务时，应当要求用户提供真实身份信息。用户不提供真实身份信息的，网络运营者不得为其提供相关服务。</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第六十一条 网络运营者违反本法第二十四条第一款规定，未要求用户提供真实身份信息，或者对不提供真实身份信息的用户提供相关服务的，由有关主管部门责令改正；拒不改正或者情节严重的，处五万元以上五十万元以下罚款，并可以由有关主管部门责令暂停相关业务、停业整顿、关闭网站、吊销相关业务许可证或者吊销营业执照，对直接负责的主管人员和其他直接责任人员处一万元以上十万元以下罚款。</w:t>
            </w:r>
          </w:p>
        </w:tc>
        <w:tc>
          <w:tcPr>
            <w:tcW w:w="2017" w:type="dxa"/>
            <w:vAlign w:val="center"/>
          </w:tcPr>
          <w:p w14:paraId="30D2A53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公安机关</w:t>
            </w:r>
          </w:p>
        </w:tc>
      </w:tr>
      <w:tr w14:paraId="5B5F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4ED200F3">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w:t>
            </w:r>
          </w:p>
        </w:tc>
        <w:tc>
          <w:tcPr>
            <w:tcW w:w="3112" w:type="dxa"/>
            <w:vAlign w:val="center"/>
          </w:tcPr>
          <w:p w14:paraId="116FC14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网络运营者拒绝、阻碍有关部门依法实施的监督检查</w:t>
            </w:r>
          </w:p>
        </w:tc>
        <w:tc>
          <w:tcPr>
            <w:tcW w:w="2693" w:type="dxa"/>
            <w:vAlign w:val="center"/>
          </w:tcPr>
          <w:p w14:paraId="484C7A8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初次违反规定，且未导致危害后果或不良社会影响</w:t>
            </w:r>
          </w:p>
        </w:tc>
        <w:tc>
          <w:tcPr>
            <w:tcW w:w="5812" w:type="dxa"/>
            <w:vAlign w:val="center"/>
          </w:tcPr>
          <w:p w14:paraId="6E79D09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【法律】《中华人民共和国网络安全法》</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第六十九条  网络运营者违反本法规定，有下列行为之一的，由有关主管部门责令改正；拒不改正或者情节严重的，处五万元以上五十万元以下罚款，对直接负责的主管人员和其他直接责任人员，处一万元以上十万元以下罚款：（二）拒绝、阻碍有关部门依法实施的监督检查的；</w:t>
            </w:r>
          </w:p>
        </w:tc>
        <w:tc>
          <w:tcPr>
            <w:tcW w:w="2017" w:type="dxa"/>
            <w:vAlign w:val="center"/>
          </w:tcPr>
          <w:p w14:paraId="307163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公安机关</w:t>
            </w:r>
          </w:p>
        </w:tc>
      </w:tr>
      <w:tr w14:paraId="5F22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76956100">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6</w:t>
            </w:r>
          </w:p>
        </w:tc>
        <w:tc>
          <w:tcPr>
            <w:tcW w:w="3112" w:type="dxa"/>
            <w:vAlign w:val="center"/>
          </w:tcPr>
          <w:p w14:paraId="5687F4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网络运营者拒不向公安机关、国家安全机关提供技术支持和协助</w:t>
            </w:r>
          </w:p>
        </w:tc>
        <w:tc>
          <w:tcPr>
            <w:tcW w:w="2693" w:type="dxa"/>
            <w:vAlign w:val="center"/>
          </w:tcPr>
          <w:p w14:paraId="38BFAD6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初次违反规定，且未导致危害后果或不良社会影响</w:t>
            </w:r>
          </w:p>
        </w:tc>
        <w:tc>
          <w:tcPr>
            <w:tcW w:w="5812" w:type="dxa"/>
            <w:vAlign w:val="center"/>
          </w:tcPr>
          <w:p w14:paraId="14DD56D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【法律】《中华人民共和国网络安全法》</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第六十九条  网络运营者违反本法规定，有下列行为之一的，由有关主管部门责令改正；拒不改正或者情节严重的，处五万元以上五十万元以下罚款，对直接负责的主管人员和其他直接责任人员，处一万元以上十万元以下罚款：（三）拒不向公安机关、国家安全机关提供技术支持和协助的。</w:t>
            </w:r>
          </w:p>
        </w:tc>
        <w:tc>
          <w:tcPr>
            <w:tcW w:w="2017" w:type="dxa"/>
            <w:vAlign w:val="center"/>
          </w:tcPr>
          <w:p w14:paraId="4F9C1A3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公安机关</w:t>
            </w:r>
          </w:p>
        </w:tc>
      </w:tr>
      <w:tr w14:paraId="31BA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1A73641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p>
        </w:tc>
        <w:tc>
          <w:tcPr>
            <w:tcW w:w="3112" w:type="dxa"/>
            <w:shd w:val="clear" w:color="auto" w:fill="auto"/>
            <w:vAlign w:val="center"/>
          </w:tcPr>
          <w:p w14:paraId="56BE065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供应商中标或者成交后无正当理由拒不与采购人签订政府采购合同</w:t>
            </w:r>
          </w:p>
        </w:tc>
        <w:tc>
          <w:tcPr>
            <w:tcW w:w="2693" w:type="dxa"/>
            <w:shd w:val="clear" w:color="auto" w:fill="auto"/>
            <w:vAlign w:val="center"/>
          </w:tcPr>
          <w:p w14:paraId="52D3D19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w:t>
            </w:r>
            <w:r>
              <w:rPr>
                <w:rFonts w:hint="eastAsia" w:asciiTheme="minorEastAsia" w:hAnsiTheme="minorEastAsia" w:eastAsiaTheme="minorEastAsia" w:cstheme="minorEastAsia"/>
                <w:spacing w:val="-2"/>
                <w:kern w:val="0"/>
                <w:sz w:val="22"/>
                <w:szCs w:val="20"/>
                <w:lang w:val="en-US" w:eastAsia="zh-CN"/>
              </w:rPr>
              <w:t>符合下列</w:t>
            </w:r>
            <w:r>
              <w:rPr>
                <w:rFonts w:hint="eastAsia" w:asciiTheme="minorEastAsia" w:hAnsiTheme="minorEastAsia" w:eastAsiaTheme="minorEastAsia" w:cstheme="minorEastAsia"/>
                <w:spacing w:val="-2"/>
                <w:kern w:val="0"/>
                <w:sz w:val="22"/>
                <w:szCs w:val="20"/>
              </w:rPr>
              <w:t>条件：</w:t>
            </w:r>
          </w:p>
          <w:p w14:paraId="2475278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当事人无不良行为记录；</w:t>
            </w:r>
          </w:p>
          <w:p w14:paraId="130D915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对项目采购文件、项目实施条件的理解出现重大失误或者投标报价等发生重大失误；</w:t>
            </w:r>
          </w:p>
          <w:p w14:paraId="0FCEEEA4">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3.</w:t>
            </w:r>
            <w:r>
              <w:rPr>
                <w:rFonts w:hint="eastAsia" w:asciiTheme="minorEastAsia" w:hAnsiTheme="minorEastAsia" w:eastAsiaTheme="minorEastAsia" w:cstheme="minorEastAsia"/>
                <w:spacing w:val="-2"/>
                <w:kern w:val="0"/>
                <w:sz w:val="22"/>
                <w:szCs w:val="20"/>
              </w:rPr>
              <w:t>在苏州大市范围内首次违反，且在中标或成交通知书发出之日起30日内积极与采购人沟通，得到采购人谅解</w:t>
            </w:r>
            <w:r>
              <w:rPr>
                <w:rFonts w:hint="eastAsia" w:asciiTheme="minorEastAsia" w:hAnsiTheme="minorEastAsia" w:eastAsiaTheme="minorEastAsia" w:cstheme="minorEastAsia"/>
                <w:spacing w:val="-2"/>
                <w:kern w:val="0"/>
                <w:sz w:val="22"/>
                <w:szCs w:val="20"/>
                <w:lang w:eastAsia="zh-CN"/>
              </w:rPr>
              <w:t>。</w:t>
            </w:r>
          </w:p>
          <w:p w14:paraId="138C914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r>
              <w:rPr>
                <w:rFonts w:hint="eastAsia" w:asciiTheme="minorEastAsia" w:hAnsiTheme="minorEastAsia" w:eastAsiaTheme="minorEastAsia" w:cstheme="minorEastAsia"/>
                <w:spacing w:val="-2"/>
                <w:kern w:val="0"/>
                <w:sz w:val="22"/>
                <w:szCs w:val="20"/>
              </w:rPr>
              <w:t>采购项目可按采购文件评审办法规定的递补规则，从合格候选人中另行确定中标或成交供应商，未对采购效率产生严重影响。</w:t>
            </w:r>
          </w:p>
        </w:tc>
        <w:tc>
          <w:tcPr>
            <w:tcW w:w="5812" w:type="dxa"/>
            <w:shd w:val="clear" w:color="auto" w:fill="auto"/>
            <w:vAlign w:val="center"/>
          </w:tcPr>
          <w:p w14:paraId="3DAFEDCE">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行政法规</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rPr>
              <w:t>《中华人民共和国政府采购法实施条例》</w:t>
            </w:r>
            <w:r>
              <w:rPr>
                <w:rFonts w:hint="eastAsia" w:asciiTheme="minorEastAsia" w:hAnsiTheme="minorEastAsia" w:eastAsiaTheme="minorEastAsia" w:cstheme="minorEastAsia"/>
                <w:spacing w:val="-2"/>
                <w:kern w:val="0"/>
                <w:sz w:val="22"/>
                <w:szCs w:val="20"/>
                <w:lang w:eastAsia="zh-CN"/>
              </w:rPr>
              <w:t>（国务院令第658号）</w:t>
            </w:r>
          </w:p>
          <w:p w14:paraId="5C24B46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第七十二条</w:t>
            </w:r>
            <w:r>
              <w:rPr>
                <w:rFonts w:hint="eastAsia" w:asciiTheme="minorEastAsia" w:hAnsiTheme="minorEastAsia" w:eastAsiaTheme="minorEastAsia" w:cstheme="minorEastAsia"/>
                <w:spacing w:val="-2"/>
                <w:kern w:val="0"/>
                <w:sz w:val="22"/>
                <w:szCs w:val="20"/>
                <w:lang w:val="en-US" w:eastAsia="zh-CN"/>
              </w:rPr>
              <w:t xml:space="preserve"> 供应商有下列情形之一的，依照政府采购法第七十七条第一款的规定追究法律责任：（三）未按照采购文件确定的事项签订政府采购合同。</w:t>
            </w:r>
          </w:p>
        </w:tc>
        <w:tc>
          <w:tcPr>
            <w:tcW w:w="2017" w:type="dxa"/>
            <w:shd w:val="clear" w:color="auto" w:fill="auto"/>
            <w:vAlign w:val="center"/>
          </w:tcPr>
          <w:p w14:paraId="35B6E0A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苏州市财政局、各县级市（区）财政部门</w:t>
            </w:r>
          </w:p>
        </w:tc>
      </w:tr>
      <w:tr w14:paraId="05E4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7F0DE1B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p>
        </w:tc>
        <w:tc>
          <w:tcPr>
            <w:tcW w:w="3112" w:type="dxa"/>
            <w:shd w:val="clear" w:color="auto" w:fill="auto"/>
            <w:vAlign w:val="center"/>
          </w:tcPr>
          <w:p w14:paraId="292A148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采购人、采购代理机构应当采用公开招标方式而擅自采用其他方式采购</w:t>
            </w:r>
          </w:p>
        </w:tc>
        <w:tc>
          <w:tcPr>
            <w:tcW w:w="2693" w:type="dxa"/>
            <w:shd w:val="clear" w:color="auto" w:fill="auto"/>
            <w:vAlign w:val="center"/>
          </w:tcPr>
          <w:p w14:paraId="1CA9B6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同时符合下列条件：</w:t>
            </w:r>
          </w:p>
          <w:p w14:paraId="0D2F522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4FDC46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2.主动改正或者在责令改正期限内改正；</w:t>
            </w:r>
          </w:p>
          <w:p w14:paraId="4FD3130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5812" w:type="dxa"/>
            <w:shd w:val="clear" w:color="auto" w:fill="auto"/>
            <w:vAlign w:val="center"/>
          </w:tcPr>
          <w:p w14:paraId="2534616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法律</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rPr>
              <w:t>《中华人民共和国政府采购法》</w:t>
            </w:r>
          </w:p>
          <w:p w14:paraId="6756AA16">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第二十八条 采购人不得将应当以公开招标方式采购的货物或者服务化整为零或者以其他任何方式规避公开招标采购。</w:t>
            </w:r>
          </w:p>
          <w:p w14:paraId="2BC322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法律</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rPr>
              <w:t>《中华人民共和国政府采购法》</w:t>
            </w:r>
          </w:p>
          <w:p w14:paraId="3513F6B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第七十一条 采购人、采购代理机构有下列情形之一的，责令限期改正，给予警告，可以并处罚款，对直接负责的主管人员和其他直接责任人员，由其行政主管部门或者有关机关给予处分，并予通报：（一）应当采用公开招标方式而擅自采用其他方式采购的。</w:t>
            </w:r>
          </w:p>
        </w:tc>
        <w:tc>
          <w:tcPr>
            <w:tcW w:w="2017" w:type="dxa"/>
            <w:shd w:val="clear" w:color="auto" w:fill="auto"/>
            <w:vAlign w:val="center"/>
          </w:tcPr>
          <w:p w14:paraId="66D9C77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苏州市财政局、各县级市（区）财政部门</w:t>
            </w:r>
          </w:p>
        </w:tc>
      </w:tr>
      <w:tr w14:paraId="3527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37AF55A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p>
        </w:tc>
        <w:tc>
          <w:tcPr>
            <w:tcW w:w="3112" w:type="dxa"/>
            <w:shd w:val="clear" w:color="auto" w:fill="auto"/>
            <w:vAlign w:val="center"/>
          </w:tcPr>
          <w:p w14:paraId="5BFECA1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集中采购机构内部监督管理制度不健全，人员、岗位未依法分设、分离；将集中采购项目转委托</w:t>
            </w:r>
          </w:p>
        </w:tc>
        <w:tc>
          <w:tcPr>
            <w:tcW w:w="2693" w:type="dxa"/>
            <w:shd w:val="clear" w:color="auto" w:fill="auto"/>
            <w:vAlign w:val="center"/>
          </w:tcPr>
          <w:p w14:paraId="0D03207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同时符合下列条件：</w:t>
            </w:r>
          </w:p>
          <w:p w14:paraId="4B58130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DD7B8A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2.主动改正或者在责令改正期限内改正；</w:t>
            </w:r>
          </w:p>
          <w:p w14:paraId="0CC32C9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5812" w:type="dxa"/>
            <w:shd w:val="clear" w:color="auto" w:fill="auto"/>
            <w:vAlign w:val="center"/>
          </w:tcPr>
          <w:p w14:paraId="4B79422F">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行政法规</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rPr>
              <w:t>《中华人民共和国政府采购法实施条例》</w:t>
            </w:r>
            <w:r>
              <w:rPr>
                <w:rFonts w:hint="eastAsia" w:asciiTheme="minorEastAsia" w:hAnsiTheme="minorEastAsia" w:eastAsiaTheme="minorEastAsia" w:cstheme="minorEastAsia"/>
                <w:spacing w:val="-2"/>
                <w:kern w:val="0"/>
                <w:sz w:val="22"/>
                <w:szCs w:val="20"/>
                <w:lang w:eastAsia="zh-CN"/>
              </w:rPr>
              <w:t>（国务院令第658号）</w:t>
            </w:r>
          </w:p>
          <w:p w14:paraId="196AF91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第十二条</w:t>
            </w:r>
            <w:r>
              <w:rPr>
                <w:rFonts w:hint="eastAsia" w:asciiTheme="minorEastAsia" w:hAnsiTheme="minorEastAsia" w:eastAsiaTheme="minorEastAsia" w:cstheme="minorEastAsia"/>
                <w:spacing w:val="-2"/>
                <w:kern w:val="0"/>
                <w:sz w:val="22"/>
                <w:szCs w:val="20"/>
                <w:lang w:val="en-US" w:eastAsia="zh-CN"/>
              </w:rPr>
              <w:t xml:space="preserve"> 集中采购机构是设区的市级以上人民政府依法设立的非营利事业法人，是代理集中采购项目的执行机构。集中采购机构应当根据采购人委托制定集中采购项目的实施方案，明确采购规程，组织政府采购活动，不得将集中采购项目转委托。集中采购机构以外的采购代理机构，是从事采购代理业务的社会中介机构。</w:t>
            </w:r>
          </w:p>
          <w:p w14:paraId="522D35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第十三条 采购代理机构应当建立完善的政府采购内部监督管理制度，具备开展政府采购业务所需的评审条件和设施。</w:t>
            </w:r>
          </w:p>
          <w:p w14:paraId="2C04200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第六十九条 集中采购机构有下列情形之一的，由财政部门责令限期改正，给予警告，有违法所得的，并处没收违法所得，对直接负责的主管人员和其他直接责任人员依法给予处分，予以通报：（一）内部监督管理制度不健全，对依法应当分设、分离的岗位、人员未分设、分离；（二）将集中采购项目委托其他采购代理机构采购。</w:t>
            </w:r>
          </w:p>
        </w:tc>
        <w:tc>
          <w:tcPr>
            <w:tcW w:w="2017" w:type="dxa"/>
            <w:shd w:val="clear" w:color="auto" w:fill="auto"/>
            <w:vAlign w:val="center"/>
          </w:tcPr>
          <w:p w14:paraId="29DC82E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苏州市财政局、各县级市（区）财政部门</w:t>
            </w:r>
          </w:p>
        </w:tc>
      </w:tr>
      <w:tr w14:paraId="3F60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6DCF39B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p>
        </w:tc>
        <w:tc>
          <w:tcPr>
            <w:tcW w:w="3112" w:type="dxa"/>
            <w:shd w:val="clear" w:color="auto" w:fill="auto"/>
            <w:vAlign w:val="center"/>
          </w:tcPr>
          <w:p w14:paraId="223D1AA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资产评估机构未建立质量控制制度和内部管理制度，或质量控制制度和内部管理制度不健全</w:t>
            </w:r>
          </w:p>
        </w:tc>
        <w:tc>
          <w:tcPr>
            <w:tcW w:w="2693" w:type="dxa"/>
            <w:shd w:val="clear" w:color="auto" w:fill="auto"/>
            <w:vAlign w:val="center"/>
          </w:tcPr>
          <w:p w14:paraId="0D5942C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同时符合下列条件：</w:t>
            </w:r>
          </w:p>
          <w:p w14:paraId="4ADBD8F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06D2167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2.主动改正或者在责令改正期限内改正；</w:t>
            </w:r>
          </w:p>
          <w:p w14:paraId="54902EA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5812" w:type="dxa"/>
            <w:shd w:val="clear" w:color="auto" w:fill="auto"/>
            <w:vAlign w:val="center"/>
          </w:tcPr>
          <w:p w14:paraId="7C1DA2C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部门规章</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rPr>
              <w:t>《资产评估行业财政监督管理办法》（财政部令第97号）</w:t>
            </w:r>
          </w:p>
          <w:p w14:paraId="0E46033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第十七条 资产评估机构应当建立健全质量控制制度和内部管理制度。其中，内部管理制度包括资产评估业务管理制度、业务档案管理制度、人事管理制度、继续教育制度、财务管理制度等。</w:t>
            </w:r>
          </w:p>
          <w:p w14:paraId="073E855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第六十三条 资产评估机构违反本办法第十七条、第十八条、第十九条、第二十条第一款、第二十八条、第三十一条第一款和第二款规定的，由资产评估机构所在地省级财政部门责令改正，并予以警告。</w:t>
            </w:r>
          </w:p>
        </w:tc>
        <w:tc>
          <w:tcPr>
            <w:tcW w:w="2017" w:type="dxa"/>
            <w:shd w:val="clear" w:color="auto" w:fill="auto"/>
            <w:vAlign w:val="center"/>
          </w:tcPr>
          <w:p w14:paraId="3034DB7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苏州市财政局</w:t>
            </w:r>
          </w:p>
        </w:tc>
      </w:tr>
      <w:tr w14:paraId="3CA7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vAlign w:val="center"/>
          </w:tcPr>
          <w:p w14:paraId="33593A3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3112" w:type="dxa"/>
            <w:shd w:val="clear" w:color="auto" w:fill="auto"/>
            <w:vAlign w:val="center"/>
          </w:tcPr>
          <w:p w14:paraId="20B52B2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民办学校举办者及实际控制人、决策机构或者监督机构组成人员违法违规办学的行为</w:t>
            </w:r>
          </w:p>
        </w:tc>
        <w:tc>
          <w:tcPr>
            <w:tcW w:w="2693" w:type="dxa"/>
            <w:shd w:val="clear" w:color="auto" w:fill="auto"/>
            <w:vAlign w:val="center"/>
          </w:tcPr>
          <w:p w14:paraId="793B4447">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违法行为轻微并及时改正，没有造成危害后果的</w:t>
            </w:r>
            <w:r>
              <w:rPr>
                <w:rFonts w:hint="eastAsia" w:asciiTheme="minorEastAsia" w:hAnsiTheme="minorEastAsia" w:eastAsiaTheme="minorEastAsia" w:cstheme="minorEastAsia"/>
                <w:spacing w:val="-2"/>
                <w:kern w:val="0"/>
                <w:sz w:val="22"/>
                <w:szCs w:val="20"/>
                <w:lang w:eastAsia="zh-CN"/>
              </w:rPr>
              <w:t>。</w:t>
            </w:r>
          </w:p>
          <w:p w14:paraId="0309A6E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（二）</w:t>
            </w:r>
            <w:r>
              <w:rPr>
                <w:rFonts w:hint="eastAsia" w:asciiTheme="minorEastAsia" w:hAnsiTheme="minorEastAsia" w:eastAsiaTheme="minorEastAsia" w:cstheme="minorEastAsia"/>
                <w:spacing w:val="-2"/>
                <w:kern w:val="0"/>
                <w:sz w:val="22"/>
                <w:szCs w:val="20"/>
              </w:rPr>
              <w:t>当事人初次违法且危害后果轻微并及时改正的。</w:t>
            </w:r>
          </w:p>
        </w:tc>
        <w:tc>
          <w:tcPr>
            <w:tcW w:w="5812" w:type="dxa"/>
            <w:shd w:val="clear" w:color="auto" w:fill="auto"/>
            <w:vAlign w:val="center"/>
          </w:tcPr>
          <w:p w14:paraId="64200EB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【行政法规】《中华人民共和国民办教育促进法实施条例》（国务院令第741号）</w:t>
            </w:r>
          </w:p>
          <w:p w14:paraId="06D3E10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第六十二条 民办学校举办者及实际控制人、决策机构或者监督机构组成人员有下列情形之一的，由县级以上人民政府教育行政部门、人力资源社会保障行政部门或者其他有关部门依据职责分工责令限期改正，有违法所得的，退还所收费用后没收违法所得；情节严重的，1至5年内不得新成为民办学校举办者或实际控制人、决策机构或者监督机构组成人员；情节特别严重、社会影响恶劣的，永久不得新成为民办学校举办者或实际控制人、决策机构或者监督机构组成人员；构成违反治安管理行为的，由公安机关依法给予治安管理处罚；构成犯罪的，依法追究刑事责任：</w:t>
            </w:r>
          </w:p>
          <w:p w14:paraId="7BF3B0D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（一）利用办学非法集资，或者收取与入学关联的费用的；</w:t>
            </w:r>
          </w:p>
          <w:p w14:paraId="0246D28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（二）未按时、足额履行出资义务，或者抽逃出资、挪用办学经费的；</w:t>
            </w:r>
          </w:p>
          <w:p w14:paraId="52921D9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（三）侵占学校法人财产或者非法从学校获取利益的；</w:t>
            </w:r>
          </w:p>
          <w:p w14:paraId="1948EB9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（四）与实施义务教育的民办学校进行关联交易，或者与其他民办学校进行关联交易损害国家利益、学校利益和师生权益的；</w:t>
            </w:r>
          </w:p>
          <w:p w14:paraId="6F9EBD4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（五）伪造、变造、买卖、出租、出借办学许可证的；</w:t>
            </w:r>
          </w:p>
          <w:p w14:paraId="3BC050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（六）干扰学校办学秩序或者非法干预学校决策、管理的;</w:t>
            </w:r>
          </w:p>
          <w:p w14:paraId="4A6F9FF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（七）擅自变更学校名称、层次、类型和举办者的；</w:t>
            </w:r>
          </w:p>
          <w:p w14:paraId="65712D0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（八）有其他危害学校稳定和安全、侵犯学校法人权利或者损害教职工、受教育者权益的行为的。</w:t>
            </w:r>
          </w:p>
        </w:tc>
        <w:tc>
          <w:tcPr>
            <w:tcW w:w="2017" w:type="dxa"/>
            <w:shd w:val="clear" w:color="auto" w:fill="auto"/>
            <w:vAlign w:val="center"/>
          </w:tcPr>
          <w:p w14:paraId="417C070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w:t>
            </w:r>
            <w:r>
              <w:rPr>
                <w:rFonts w:hint="eastAsia" w:asciiTheme="minorEastAsia" w:hAnsiTheme="minorEastAsia" w:eastAsiaTheme="minorEastAsia" w:cstheme="minorEastAsia"/>
                <w:spacing w:val="-2"/>
                <w:kern w:val="0"/>
                <w:sz w:val="22"/>
                <w:szCs w:val="20"/>
                <w:lang w:eastAsia="zh-CN"/>
              </w:rPr>
              <w:t>教育</w:t>
            </w:r>
            <w:r>
              <w:rPr>
                <w:rFonts w:hint="eastAsia" w:asciiTheme="minorEastAsia" w:hAnsiTheme="minorEastAsia" w:eastAsiaTheme="minorEastAsia" w:cstheme="minorEastAsia"/>
                <w:spacing w:val="-2"/>
                <w:kern w:val="0"/>
                <w:sz w:val="22"/>
                <w:szCs w:val="20"/>
              </w:rPr>
              <w:t>局及各市（区）</w:t>
            </w:r>
            <w:r>
              <w:rPr>
                <w:rFonts w:hint="eastAsia" w:asciiTheme="minorEastAsia" w:hAnsiTheme="minorEastAsia" w:eastAsiaTheme="minorEastAsia" w:cstheme="minorEastAsia"/>
                <w:spacing w:val="-2"/>
                <w:kern w:val="0"/>
                <w:sz w:val="22"/>
                <w:szCs w:val="20"/>
                <w:lang w:eastAsia="zh-CN"/>
              </w:rPr>
              <w:t>教育</w:t>
            </w:r>
            <w:r>
              <w:rPr>
                <w:rFonts w:hint="eastAsia" w:asciiTheme="minorEastAsia" w:hAnsiTheme="minorEastAsia" w:eastAsiaTheme="minorEastAsia" w:cstheme="minorEastAsia"/>
                <w:spacing w:val="-2"/>
                <w:kern w:val="0"/>
                <w:sz w:val="22"/>
                <w:szCs w:val="20"/>
              </w:rPr>
              <w:t>行政主管部门</w:t>
            </w:r>
          </w:p>
        </w:tc>
      </w:tr>
      <w:tr w14:paraId="5CA0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vAlign w:val="center"/>
          </w:tcPr>
          <w:p w14:paraId="148E291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p>
        </w:tc>
        <w:tc>
          <w:tcPr>
            <w:tcW w:w="3112" w:type="dxa"/>
            <w:vAlign w:val="center"/>
          </w:tcPr>
          <w:p w14:paraId="46AB1C0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用人单位违反劳动保障法律、法规或者规章延长劳动者工作时间的（含未按规定缩短工作时间）</w:t>
            </w:r>
          </w:p>
          <w:p w14:paraId="173AACA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693" w:type="dxa"/>
            <w:vAlign w:val="center"/>
          </w:tcPr>
          <w:p w14:paraId="353BAC4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同时具备以下条件：1.检查之日起前2年内无违反同一法律规定的查处记录；2. 保证受侵害人每周至少休息一天且受侵害人人均日延长工作时间3小时以上4小时以内或人均月延长工作时间36小时以上54小时以内；3.履行了民主协商程序且及时足额支付加班工资；4.主动整改或在行政机关责令改正限期内改正；5.没有造成人身损害等危害后果的。</w:t>
            </w:r>
          </w:p>
        </w:tc>
        <w:tc>
          <w:tcPr>
            <w:tcW w:w="5812" w:type="dxa"/>
            <w:vAlign w:val="center"/>
          </w:tcPr>
          <w:p w14:paraId="6CD7E51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劳动保障监察条例》第二十五条：用人单位违反劳动保障法律、法规或者规章延长劳动者工作时间的，由劳动保障行政部门给予警告，责令限期改正，并可以按照受侵害的劳动者每人100元以上500元以下的标准计算，处以罚款。</w:t>
            </w:r>
          </w:p>
        </w:tc>
        <w:tc>
          <w:tcPr>
            <w:tcW w:w="2017" w:type="dxa"/>
            <w:vAlign w:val="center"/>
          </w:tcPr>
          <w:p w14:paraId="0B5C085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52CD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vAlign w:val="center"/>
          </w:tcPr>
          <w:p w14:paraId="433114C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w:t>
            </w:r>
          </w:p>
        </w:tc>
        <w:tc>
          <w:tcPr>
            <w:tcW w:w="3112" w:type="dxa"/>
            <w:vAlign w:val="center"/>
          </w:tcPr>
          <w:p w14:paraId="6E557B4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职业中介机构超出核准的业务范围经营</w:t>
            </w:r>
          </w:p>
        </w:tc>
        <w:tc>
          <w:tcPr>
            <w:tcW w:w="2693" w:type="dxa"/>
            <w:vAlign w:val="center"/>
          </w:tcPr>
          <w:p w14:paraId="1AF86AB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二年内未有查处记录且没有违法所得，未造成严重后果并及时改正。</w:t>
            </w:r>
          </w:p>
        </w:tc>
        <w:tc>
          <w:tcPr>
            <w:tcW w:w="5812" w:type="dxa"/>
            <w:vAlign w:val="center"/>
          </w:tcPr>
          <w:p w14:paraId="23E4E5E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《就业服务与就业管理规定》第五十八条　禁止职业中介机构有下列行为：……（十）超出核准的业务范围经营；</w:t>
            </w:r>
          </w:p>
          <w:p w14:paraId="0F810B2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就业服务与就业管理规定》第七十四条：……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对当事人造成损害的，应当承担赔偿责任。</w:t>
            </w:r>
          </w:p>
        </w:tc>
        <w:tc>
          <w:tcPr>
            <w:tcW w:w="2017" w:type="dxa"/>
            <w:vAlign w:val="center"/>
          </w:tcPr>
          <w:p w14:paraId="1D0F15B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73F1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1D704CC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br w:type="page"/>
            </w:r>
            <w:r>
              <w:rPr>
                <w:rFonts w:hint="eastAsia" w:asciiTheme="minorEastAsia" w:hAnsiTheme="minorEastAsia" w:eastAsiaTheme="minorEastAsia" w:cstheme="minorEastAsia"/>
                <w:spacing w:val="-2"/>
                <w:kern w:val="0"/>
                <w:sz w:val="22"/>
                <w:szCs w:val="20"/>
              </w:rPr>
              <w:t>3</w:t>
            </w:r>
          </w:p>
        </w:tc>
        <w:tc>
          <w:tcPr>
            <w:tcW w:w="3112" w:type="dxa"/>
            <w:vAlign w:val="center"/>
          </w:tcPr>
          <w:p w14:paraId="1AF7A49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企业违反《企业年金办法》</w:t>
            </w:r>
          </w:p>
        </w:tc>
        <w:tc>
          <w:tcPr>
            <w:tcW w:w="2693" w:type="dxa"/>
            <w:vAlign w:val="center"/>
          </w:tcPr>
          <w:p w14:paraId="05487DB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二年内未就该事项被查处且及时改正，未造成严重后果。</w:t>
            </w:r>
          </w:p>
        </w:tc>
        <w:tc>
          <w:tcPr>
            <w:tcW w:w="5812" w:type="dxa"/>
            <w:vAlign w:val="center"/>
          </w:tcPr>
          <w:p w14:paraId="510045D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《企业年金办法》第二十九条：县级以上各级人民政府劳动保障行政部门负责对本办法的执行情况进行监督检查。对违反本办法规定的，由劳动保障行政部门予以警告，责令改正。</w:t>
            </w:r>
          </w:p>
          <w:p w14:paraId="4B49B9D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017" w:type="dxa"/>
            <w:vAlign w:val="center"/>
          </w:tcPr>
          <w:p w14:paraId="597C4DB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3CCA2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1BDBB6C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w:t>
            </w:r>
          </w:p>
        </w:tc>
        <w:tc>
          <w:tcPr>
            <w:tcW w:w="3112" w:type="dxa"/>
            <w:vAlign w:val="center"/>
          </w:tcPr>
          <w:p w14:paraId="10F882E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直接涉及劳动者切身利益的规章制度违反法律、法规规定</w:t>
            </w:r>
          </w:p>
        </w:tc>
        <w:tc>
          <w:tcPr>
            <w:tcW w:w="2693" w:type="dxa"/>
            <w:vAlign w:val="center"/>
          </w:tcPr>
          <w:p w14:paraId="29C6B66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未对劳动者权益造成严重损害后果且按要求及时改正。</w:t>
            </w:r>
          </w:p>
        </w:tc>
        <w:tc>
          <w:tcPr>
            <w:tcW w:w="5812" w:type="dxa"/>
            <w:vAlign w:val="center"/>
          </w:tcPr>
          <w:p w14:paraId="59FA097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《劳动合同法》第八十条：用人单位直接涉及劳动者切身利益的规章制度违反法律、法规规定的，由劳动行政部门责令改正，给予警告；给劳动者造成损害的，应当承担赔偿责任。</w:t>
            </w:r>
          </w:p>
        </w:tc>
        <w:tc>
          <w:tcPr>
            <w:tcW w:w="2017" w:type="dxa"/>
            <w:vAlign w:val="center"/>
          </w:tcPr>
          <w:p w14:paraId="60E4515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1B8F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4F9A7F9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w:t>
            </w:r>
          </w:p>
        </w:tc>
        <w:tc>
          <w:tcPr>
            <w:tcW w:w="3112" w:type="dxa"/>
            <w:vAlign w:val="center"/>
          </w:tcPr>
          <w:p w14:paraId="48E492F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违反《江苏省工资支付条例》未记录劳动者工资清单、未将劳动者本人的工资清单提供给劳动者</w:t>
            </w:r>
          </w:p>
        </w:tc>
        <w:tc>
          <w:tcPr>
            <w:tcW w:w="2693" w:type="dxa"/>
            <w:vAlign w:val="center"/>
          </w:tcPr>
          <w:p w14:paraId="60336E7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按要求将工资清单及时提供给劳动者。</w:t>
            </w:r>
          </w:p>
        </w:tc>
        <w:tc>
          <w:tcPr>
            <w:tcW w:w="5812" w:type="dxa"/>
            <w:vAlign w:val="center"/>
          </w:tcPr>
          <w:p w14:paraId="1C4EACE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工资支付条例》第五十四条第二款：用人单位违反本条例第十七条、第十八条第一款规定，未记录劳动者出勤情况、出勤记录保存期限少于二年的，或者未提供劳动者工资清单，由人力资源社会保障行政部门责令限期改正；逾期不改正的，对单位处以二万元以上五万元以下的罚款，对其法定代表人或者主要负责人、直接负责的主管人员和其他直接责任人员处以一万元以上三万元以下的罚款。</w:t>
            </w:r>
          </w:p>
        </w:tc>
        <w:tc>
          <w:tcPr>
            <w:tcW w:w="2017" w:type="dxa"/>
            <w:vAlign w:val="center"/>
          </w:tcPr>
          <w:p w14:paraId="3A3A2F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7687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487504B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6</w:t>
            </w:r>
          </w:p>
        </w:tc>
        <w:tc>
          <w:tcPr>
            <w:tcW w:w="3112" w:type="dxa"/>
            <w:vAlign w:val="center"/>
          </w:tcPr>
          <w:p w14:paraId="684C322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除国家法律、行政法规和国务院卫生行政部门规定禁止乙肝病原携带者从事的工作外，强行将乙肝病毒血清学指标作为体检标准</w:t>
            </w:r>
          </w:p>
        </w:tc>
        <w:tc>
          <w:tcPr>
            <w:tcW w:w="2693" w:type="dxa"/>
            <w:vAlign w:val="center"/>
          </w:tcPr>
          <w:p w14:paraId="1E5EA9A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二年内未就该事项被查处且及时改正，未造成严重后果。</w:t>
            </w:r>
          </w:p>
        </w:tc>
        <w:tc>
          <w:tcPr>
            <w:tcW w:w="5812" w:type="dxa"/>
            <w:vAlign w:val="center"/>
          </w:tcPr>
          <w:p w14:paraId="6E3D582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就业服务与就业管理规定》第六十八条：用人单位违反本规定第十九条第二款规定，在国家法律、行政法规和国务院卫生行政部门规定禁止乙肝病原携带者从事的工作岗位以外招用人员时，将乙肝病毒血清学指标作为体检标准的，由劳动保障行政部门责令改正，并可处以一千元以下的罚款；对当事人造成损害的，应当承担赔偿责任。</w:t>
            </w:r>
          </w:p>
        </w:tc>
        <w:tc>
          <w:tcPr>
            <w:tcW w:w="2017" w:type="dxa"/>
            <w:vAlign w:val="center"/>
          </w:tcPr>
          <w:p w14:paraId="5D271F8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4D70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1AAA54E0">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7</w:t>
            </w:r>
          </w:p>
        </w:tc>
        <w:tc>
          <w:tcPr>
            <w:tcW w:w="3112" w:type="dxa"/>
            <w:vAlign w:val="center"/>
          </w:tcPr>
          <w:p w14:paraId="56FDF5E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扣押劳动者居民身份证等证件</w:t>
            </w:r>
          </w:p>
        </w:tc>
        <w:tc>
          <w:tcPr>
            <w:tcW w:w="2693" w:type="dxa"/>
            <w:vAlign w:val="center"/>
          </w:tcPr>
          <w:p w14:paraId="4B16AAF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未对劳动者权益造成严重损害后果且按要求及时返还扣押证件。</w:t>
            </w:r>
          </w:p>
        </w:tc>
        <w:tc>
          <w:tcPr>
            <w:tcW w:w="5812" w:type="dxa"/>
            <w:vAlign w:val="center"/>
          </w:tcPr>
          <w:p w14:paraId="10BEF5F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《劳动合同法》第八十四条第一款：用人单位违反本法规定，扣押劳动者居民身份证等证件的，由劳动行政部门责令限期退还劳动者本人，并依照有关法律规定给予处罚。</w:t>
            </w:r>
          </w:p>
        </w:tc>
        <w:tc>
          <w:tcPr>
            <w:tcW w:w="2017" w:type="dxa"/>
            <w:vAlign w:val="center"/>
          </w:tcPr>
          <w:p w14:paraId="51A1770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572F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2C572F0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8</w:t>
            </w:r>
          </w:p>
        </w:tc>
        <w:tc>
          <w:tcPr>
            <w:tcW w:w="3112" w:type="dxa"/>
            <w:vAlign w:val="center"/>
          </w:tcPr>
          <w:p w14:paraId="1F2E307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以担保或其它名义向劳动者收取财物</w:t>
            </w:r>
          </w:p>
        </w:tc>
        <w:tc>
          <w:tcPr>
            <w:tcW w:w="2693" w:type="dxa"/>
            <w:vAlign w:val="center"/>
          </w:tcPr>
          <w:p w14:paraId="4360533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人均收取金额200元以内或收取物品3人以内，按要求及时退还。</w:t>
            </w:r>
          </w:p>
          <w:p w14:paraId="0D804CB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5812" w:type="dxa"/>
            <w:vAlign w:val="center"/>
          </w:tcPr>
          <w:p w14:paraId="681ECED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劳动合同法》第八十四条第二款：用人单位违反本法规定，以担保或者其他名义向劳动者收取财物的，由劳动行政部门责令限期退还劳动者本人，并以每人五百元以上二千元以下的标准处以罚款;给劳动者造成损害的，应当承担赔偿责任。</w:t>
            </w:r>
          </w:p>
        </w:tc>
        <w:tc>
          <w:tcPr>
            <w:tcW w:w="2017" w:type="dxa"/>
            <w:vAlign w:val="center"/>
          </w:tcPr>
          <w:p w14:paraId="0B3B9B2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3ED9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7C4B651A">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9</w:t>
            </w:r>
          </w:p>
        </w:tc>
        <w:tc>
          <w:tcPr>
            <w:tcW w:w="3112" w:type="dxa"/>
            <w:vAlign w:val="center"/>
          </w:tcPr>
          <w:p w14:paraId="02E59B2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职业中介机构在职业中介服务不成功后未向劳动者退还所收取的中介服务费</w:t>
            </w:r>
          </w:p>
        </w:tc>
        <w:tc>
          <w:tcPr>
            <w:tcW w:w="2693" w:type="dxa"/>
            <w:vAlign w:val="center"/>
          </w:tcPr>
          <w:p w14:paraId="5DA38BF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涉及劳动者人数3人以内，按要求及时退还。</w:t>
            </w:r>
          </w:p>
          <w:p w14:paraId="2FAC6F6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5812" w:type="dxa"/>
            <w:vAlign w:val="center"/>
          </w:tcPr>
          <w:p w14:paraId="5AA8206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就业服务与就业管理规定》第七十三条：职业中介机构违反本规定第五十五条规定，在职业中介服务不成功后未向劳动者退还所收取的中介服务费的，由劳动保障行政部门责令改正，并可处以一千元以下的罚款。</w:t>
            </w:r>
          </w:p>
        </w:tc>
        <w:tc>
          <w:tcPr>
            <w:tcW w:w="2017" w:type="dxa"/>
            <w:vAlign w:val="center"/>
          </w:tcPr>
          <w:p w14:paraId="3F87F2D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4FBE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1CF6164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10</w:t>
            </w:r>
          </w:p>
        </w:tc>
        <w:tc>
          <w:tcPr>
            <w:tcW w:w="3112" w:type="dxa"/>
            <w:vAlign w:val="center"/>
          </w:tcPr>
          <w:p w14:paraId="0C07F9D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中外合作（职业技能培训）办学机构发布虚假招生简章，骗取钱财</w:t>
            </w:r>
          </w:p>
        </w:tc>
        <w:tc>
          <w:tcPr>
            <w:tcW w:w="2693" w:type="dxa"/>
            <w:vAlign w:val="center"/>
          </w:tcPr>
          <w:p w14:paraId="2EEA91B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二年内未有查处记录且没有违法所得，未造成严重后果并及时改正。</w:t>
            </w:r>
          </w:p>
        </w:tc>
        <w:tc>
          <w:tcPr>
            <w:tcW w:w="5812" w:type="dxa"/>
            <w:vAlign w:val="center"/>
          </w:tcPr>
          <w:p w14:paraId="452A202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外合作办学条例》第五十七条，违反本条例的规定，发布虚假招生简章，骗取钱财的，由教育行政部门、劳动行政部门按照职责分工，责令限期改正并予以警告；有违法所得的，退还所收费用后没收违法所得，并可处以10万元以下的罚款；情节严重的，责令停止招生、吊销中外合作办学许可证；构成犯罪的，依照刑法关于诈骗罪或者其他罪的规定，依法追究刑事责任。</w:t>
            </w:r>
          </w:p>
        </w:tc>
        <w:tc>
          <w:tcPr>
            <w:tcW w:w="2017" w:type="dxa"/>
            <w:vAlign w:val="center"/>
          </w:tcPr>
          <w:p w14:paraId="3A919C7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07E4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5B3311F3">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11</w:t>
            </w:r>
          </w:p>
        </w:tc>
        <w:tc>
          <w:tcPr>
            <w:tcW w:w="3112" w:type="dxa"/>
            <w:vAlign w:val="center"/>
          </w:tcPr>
          <w:p w14:paraId="0244465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实施以职业技能为主的职业资格培训、职业技能培训的民办学校违规办学</w:t>
            </w:r>
          </w:p>
        </w:tc>
        <w:tc>
          <w:tcPr>
            <w:tcW w:w="2693" w:type="dxa"/>
            <w:vAlign w:val="center"/>
          </w:tcPr>
          <w:p w14:paraId="3290D6B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没有违法所得，未造成严重后果并及时改正。</w:t>
            </w:r>
          </w:p>
        </w:tc>
        <w:tc>
          <w:tcPr>
            <w:tcW w:w="5812" w:type="dxa"/>
            <w:vAlign w:val="center"/>
          </w:tcPr>
          <w:p w14:paraId="0A95553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民办教育促进法》第六十二条，由县级以上人民政府教育行政部门、人力资源社会保障行政部门或者其他有关部门责令限期改正，并予以警告；有违法所得的，退还所收费用后没收违法所得；情节严重的，责令停止招生、吊销办学许可证；构成犯罪的，依法追究刑事责任。</w:t>
            </w:r>
          </w:p>
        </w:tc>
        <w:tc>
          <w:tcPr>
            <w:tcW w:w="2017" w:type="dxa"/>
            <w:vAlign w:val="center"/>
          </w:tcPr>
          <w:p w14:paraId="1B74F98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535D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72006EE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12</w:t>
            </w:r>
          </w:p>
        </w:tc>
        <w:tc>
          <w:tcPr>
            <w:tcW w:w="3112" w:type="dxa"/>
            <w:vAlign w:val="center"/>
          </w:tcPr>
          <w:p w14:paraId="10819D8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扣押依法解除或者终止劳动合同劳动者的档案或者其他物品</w:t>
            </w:r>
          </w:p>
        </w:tc>
        <w:tc>
          <w:tcPr>
            <w:tcW w:w="2693" w:type="dxa"/>
            <w:vAlign w:val="center"/>
          </w:tcPr>
          <w:p w14:paraId="174E6DA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未对劳动者权益造成严重损害后果且按要求及时退还。</w:t>
            </w:r>
          </w:p>
        </w:tc>
        <w:tc>
          <w:tcPr>
            <w:tcW w:w="5812" w:type="dxa"/>
            <w:vAlign w:val="center"/>
          </w:tcPr>
          <w:p w14:paraId="7006122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劳动合同法》第八十四条第二款：用人单位违反本法规定，以担保或者其他名义向劳动者收取财物的，由劳动行政部门责令限期退还劳动者本人，并以每人五百元以上二千元以下的标准处以罚款;给劳动者造成损害的，应当承担赔偿责任。</w:t>
            </w:r>
          </w:p>
          <w:p w14:paraId="2327680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第三款：劳动者依法解除或者终止劳动合同，用人单位扣押劳动者档案或者其他物品的，依照前款规定处罚。</w:t>
            </w:r>
          </w:p>
        </w:tc>
        <w:tc>
          <w:tcPr>
            <w:tcW w:w="2017" w:type="dxa"/>
            <w:vAlign w:val="center"/>
          </w:tcPr>
          <w:p w14:paraId="2B4D93D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1895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4E0B1C7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13</w:t>
            </w:r>
          </w:p>
        </w:tc>
        <w:tc>
          <w:tcPr>
            <w:tcW w:w="3112" w:type="dxa"/>
            <w:vAlign w:val="center"/>
          </w:tcPr>
          <w:p w14:paraId="6595E7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用工单位违反民主程序确定本单位辅助性岗位</w:t>
            </w:r>
          </w:p>
        </w:tc>
        <w:tc>
          <w:tcPr>
            <w:tcW w:w="2693" w:type="dxa"/>
            <w:vAlign w:val="center"/>
          </w:tcPr>
          <w:p w14:paraId="0562EA0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未对劳动者权益造成严重损害后果且按要求及时改正。</w:t>
            </w:r>
          </w:p>
        </w:tc>
        <w:tc>
          <w:tcPr>
            <w:tcW w:w="5812" w:type="dxa"/>
            <w:vAlign w:val="center"/>
          </w:tcPr>
          <w:p w14:paraId="574D7F9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《劳务派遣暂行规定》第三条第三款：用工单位决定使用被派遣劳动者的辅助性岗位，应当经职工代表大会或者全体职工讨论，提出方案和意见，与工会或者职工代表平等协商确定，并在用工单位内公示。</w:t>
            </w:r>
          </w:p>
          <w:p w14:paraId="17FB37A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第二十二条：用工单位违反本规定第三条第三款规定的，由人力资源社会保障行政部门责令改正，给予警告；给被派遣劳动者造成损害的，依法承担赔偿责任。</w:t>
            </w:r>
          </w:p>
        </w:tc>
        <w:tc>
          <w:tcPr>
            <w:tcW w:w="2017" w:type="dxa"/>
            <w:vAlign w:val="center"/>
          </w:tcPr>
          <w:p w14:paraId="526B597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7A00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vAlign w:val="center"/>
          </w:tcPr>
          <w:p w14:paraId="6F815BCA">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14</w:t>
            </w:r>
          </w:p>
        </w:tc>
        <w:tc>
          <w:tcPr>
            <w:tcW w:w="3112" w:type="dxa"/>
            <w:vAlign w:val="center"/>
          </w:tcPr>
          <w:p w14:paraId="3A189BD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未对未成年工定期进行健康检查</w:t>
            </w:r>
          </w:p>
        </w:tc>
        <w:tc>
          <w:tcPr>
            <w:tcW w:w="2693" w:type="dxa"/>
            <w:vAlign w:val="center"/>
          </w:tcPr>
          <w:p w14:paraId="4F2E2A0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未对劳动者权益造成严重损害后果且按要求开展健康检查。</w:t>
            </w:r>
          </w:p>
        </w:tc>
        <w:tc>
          <w:tcPr>
            <w:tcW w:w="5812" w:type="dxa"/>
            <w:vAlign w:val="center"/>
          </w:tcPr>
          <w:p w14:paraId="5906935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劳动保障监察条例》第二十三条：用人单位有下列行为之一的，由劳动保障行政部门责令改正，按照受侵害的劳动者每人1000元以上5000元以下的标准计算，处以罚款：……（八）未对未成年工定期进行健康检查的。</w:t>
            </w:r>
          </w:p>
        </w:tc>
        <w:tc>
          <w:tcPr>
            <w:tcW w:w="2017" w:type="dxa"/>
            <w:vAlign w:val="center"/>
          </w:tcPr>
          <w:p w14:paraId="5B8DF66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651AB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tcBorders>
              <w:top w:val="single" w:color="auto" w:sz="4" w:space="0"/>
              <w:left w:val="single" w:color="auto" w:sz="4" w:space="0"/>
              <w:bottom w:val="single" w:color="auto" w:sz="4" w:space="0"/>
              <w:right w:val="single" w:color="auto" w:sz="4" w:space="0"/>
            </w:tcBorders>
            <w:vAlign w:val="center"/>
          </w:tcPr>
          <w:p w14:paraId="4744C15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15</w:t>
            </w:r>
          </w:p>
        </w:tc>
        <w:tc>
          <w:tcPr>
            <w:tcW w:w="3112" w:type="dxa"/>
            <w:tcBorders>
              <w:top w:val="single" w:color="auto" w:sz="4" w:space="0"/>
              <w:left w:val="single" w:color="auto" w:sz="4" w:space="0"/>
              <w:bottom w:val="single" w:color="auto" w:sz="4" w:space="0"/>
              <w:right w:val="single" w:color="auto" w:sz="4" w:space="0"/>
            </w:tcBorders>
            <w:vAlign w:val="center"/>
          </w:tcPr>
          <w:p w14:paraId="0278690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无理抗拒、阻挠劳动保障行政部门实施劳动保障监察</w:t>
            </w:r>
          </w:p>
        </w:tc>
        <w:tc>
          <w:tcPr>
            <w:tcW w:w="2693" w:type="dxa"/>
            <w:tcBorders>
              <w:top w:val="single" w:color="auto" w:sz="4" w:space="0"/>
              <w:left w:val="single" w:color="auto" w:sz="4" w:space="0"/>
              <w:bottom w:val="single" w:color="auto" w:sz="4" w:space="0"/>
              <w:right w:val="single" w:color="auto" w:sz="4" w:space="0"/>
            </w:tcBorders>
            <w:vAlign w:val="center"/>
          </w:tcPr>
          <w:p w14:paraId="64BD84D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采取推托、拖延、拒绝等方式不配合监察员实施监察，经宣传教育后，按要求主动配合。</w:t>
            </w:r>
          </w:p>
          <w:p w14:paraId="487F99D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5812" w:type="dxa"/>
            <w:tcBorders>
              <w:top w:val="single" w:color="auto" w:sz="4" w:space="0"/>
              <w:left w:val="single" w:color="auto" w:sz="4" w:space="0"/>
              <w:bottom w:val="single" w:color="auto" w:sz="4" w:space="0"/>
              <w:right w:val="single" w:color="auto" w:sz="4" w:space="0"/>
            </w:tcBorders>
            <w:vAlign w:val="center"/>
          </w:tcPr>
          <w:p w14:paraId="5C50E46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《劳动保障监察条例》第三十条：有下列行为之一的，由劳动保障行政部门责令改正；对有第（一）项、第（二）项或者第（三）项规定的行为的，处2000元以上2万元以下的罚款： </w:t>
            </w:r>
          </w:p>
          <w:p w14:paraId="0BA2ABF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（一）无理抗拒、阻挠劳动保障行政部门依照本条例的规定实施劳动保障监察的；......</w:t>
            </w:r>
          </w:p>
        </w:tc>
        <w:tc>
          <w:tcPr>
            <w:tcW w:w="2017" w:type="dxa"/>
            <w:tcBorders>
              <w:top w:val="single" w:color="auto" w:sz="4" w:space="0"/>
              <w:left w:val="single" w:color="auto" w:sz="4" w:space="0"/>
              <w:bottom w:val="single" w:color="auto" w:sz="4" w:space="0"/>
              <w:right w:val="single" w:color="auto" w:sz="4" w:space="0"/>
            </w:tcBorders>
            <w:vAlign w:val="center"/>
          </w:tcPr>
          <w:p w14:paraId="2B9594A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787F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432" w:type="dxa"/>
            <w:tcBorders>
              <w:top w:val="single" w:color="auto" w:sz="4" w:space="0"/>
              <w:left w:val="single" w:color="auto" w:sz="4" w:space="0"/>
              <w:bottom w:val="single" w:color="auto" w:sz="4" w:space="0"/>
              <w:right w:val="single" w:color="auto" w:sz="4" w:space="0"/>
            </w:tcBorders>
            <w:vAlign w:val="center"/>
          </w:tcPr>
          <w:p w14:paraId="690AB0C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16</w:t>
            </w:r>
          </w:p>
        </w:tc>
        <w:tc>
          <w:tcPr>
            <w:tcW w:w="3112" w:type="dxa"/>
            <w:tcBorders>
              <w:top w:val="single" w:color="auto" w:sz="4" w:space="0"/>
              <w:left w:val="single" w:color="auto" w:sz="4" w:space="0"/>
              <w:bottom w:val="single" w:color="auto" w:sz="4" w:space="0"/>
              <w:right w:val="single" w:color="auto" w:sz="4" w:space="0"/>
            </w:tcBorders>
            <w:vAlign w:val="center"/>
          </w:tcPr>
          <w:p w14:paraId="6D1B071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缴费单位未按照规定变更登记或者注销登记</w:t>
            </w:r>
          </w:p>
        </w:tc>
        <w:tc>
          <w:tcPr>
            <w:tcW w:w="2693" w:type="dxa"/>
            <w:tcBorders>
              <w:top w:val="single" w:color="auto" w:sz="4" w:space="0"/>
              <w:left w:val="single" w:color="auto" w:sz="4" w:space="0"/>
              <w:bottom w:val="single" w:color="auto" w:sz="4" w:space="0"/>
              <w:right w:val="single" w:color="auto" w:sz="4" w:space="0"/>
            </w:tcBorders>
            <w:vAlign w:val="center"/>
          </w:tcPr>
          <w:p w14:paraId="44894CB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同时具备以下条件：1.检查之日起前2年内无违反同一法律规定的查处记录；2.主动整改或在行政机关责令改正限期内改正；3.没有造成人身损害等危害后果。</w:t>
            </w:r>
          </w:p>
          <w:p w14:paraId="249A85E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5812" w:type="dxa"/>
            <w:tcBorders>
              <w:top w:val="single" w:color="auto" w:sz="4" w:space="0"/>
              <w:left w:val="single" w:color="auto" w:sz="4" w:space="0"/>
              <w:bottom w:val="single" w:color="auto" w:sz="4" w:space="0"/>
              <w:right w:val="single" w:color="auto" w:sz="4" w:space="0"/>
            </w:tcBorders>
            <w:vAlign w:val="center"/>
          </w:tcPr>
          <w:p w14:paraId="1E116AA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《社会保险费征缴暂行条例》第九条：缴费单位的社会保险登记事项发生变更或者缴费单位依法终止的，应当自变更或者终止之日起30日内，到社会保险经办机构办理变更或者注销社会保险登记手续。</w:t>
            </w:r>
          </w:p>
          <w:p w14:paraId="7DD6D96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二十三条：缴费单位未按照规定办理社会保险登记、变更登记或者注销登记……，由劳动保障行政部门责令限期改正；情节严重的，对直接负责的主管人员和其他直接责任人员可以处1000元以上5000元以下的罚款；情节特别严重的，对直接负责的主管人员和其他直接责任人员可以处5000元以上10000元以下的罚款。</w:t>
            </w:r>
          </w:p>
          <w:p w14:paraId="04ADB2E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017" w:type="dxa"/>
            <w:tcBorders>
              <w:top w:val="single" w:color="auto" w:sz="4" w:space="0"/>
              <w:left w:val="single" w:color="auto" w:sz="4" w:space="0"/>
              <w:bottom w:val="single" w:color="auto" w:sz="4" w:space="0"/>
              <w:right w:val="single" w:color="auto" w:sz="4" w:space="0"/>
            </w:tcBorders>
            <w:vAlign w:val="center"/>
          </w:tcPr>
          <w:p w14:paraId="0070383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苏州市人力资源和社会保障局及各市（区）人力资源和社会保障局、具有相对集中行政处罚权的镇（街道）</w:t>
            </w:r>
          </w:p>
        </w:tc>
      </w:tr>
      <w:tr w14:paraId="489E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vAlign w:val="center"/>
          </w:tcPr>
          <w:p w14:paraId="22C20610">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p>
        </w:tc>
        <w:tc>
          <w:tcPr>
            <w:tcW w:w="3112" w:type="dxa"/>
            <w:vAlign w:val="center"/>
          </w:tcPr>
          <w:p w14:paraId="75258DD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未经批准非法占用土地</w:t>
            </w:r>
          </w:p>
        </w:tc>
        <w:tc>
          <w:tcPr>
            <w:tcW w:w="2693" w:type="dxa"/>
            <w:vAlign w:val="center"/>
          </w:tcPr>
          <w:p w14:paraId="70C2F21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（一）当事人为初次违法，属于“未供即用”类违法用地，已具备按国有土地划拨或集体土地使用方式完善用地手续条件（集体经营性建设用地除外），且已提交完善用地手续申请的；</w:t>
            </w:r>
          </w:p>
          <w:p w14:paraId="0880D19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（二）行政处罚告知作出前，当事人主动拆除整改到位或恢复原状的；</w:t>
            </w:r>
          </w:p>
          <w:p w14:paraId="3C13B23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（三）符合设施农用地办理条件，经督促在规定期限内办理设施农用地备案手续的；</w:t>
            </w:r>
          </w:p>
          <w:p w14:paraId="3C667C5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（四）符合临时用地办理条件，经督促在规定期限内办理临时用地审批手续的</w:t>
            </w:r>
            <w:r>
              <w:rPr>
                <w:rFonts w:hint="eastAsia" w:asciiTheme="minorEastAsia" w:hAnsiTheme="minorEastAsia" w:eastAsiaTheme="minorEastAsia" w:cstheme="minorEastAsia"/>
                <w:spacing w:val="-2"/>
                <w:kern w:val="0"/>
                <w:sz w:val="22"/>
                <w:szCs w:val="20"/>
                <w:lang w:eastAsia="zh-CN"/>
              </w:rPr>
              <w:t>。</w:t>
            </w:r>
          </w:p>
        </w:tc>
        <w:tc>
          <w:tcPr>
            <w:tcW w:w="5812" w:type="dxa"/>
            <w:vAlign w:val="center"/>
          </w:tcPr>
          <w:p w14:paraId="40826D2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《中华人民共和国土地管理法》第七十七条；</w:t>
            </w:r>
          </w:p>
          <w:p w14:paraId="5AC7525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《中华人民共和国行政处罚法》第三十三条；</w:t>
            </w:r>
          </w:p>
          <w:p w14:paraId="09D0FC7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《自然资源违法行为立案查处工作规程（试行）》第4.3.1条；</w:t>
            </w:r>
          </w:p>
          <w:p w14:paraId="3D2BA33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《江苏省土地行政处罚裁量权实施办法》第五条</w:t>
            </w:r>
            <w:r>
              <w:rPr>
                <w:rFonts w:hint="eastAsia" w:asciiTheme="minorEastAsia" w:hAnsiTheme="minorEastAsia" w:eastAsiaTheme="minorEastAsia" w:cstheme="minorEastAsia"/>
                <w:spacing w:val="-2"/>
                <w:kern w:val="0"/>
                <w:sz w:val="22"/>
                <w:szCs w:val="20"/>
                <w:lang w:eastAsia="zh-CN"/>
              </w:rPr>
              <w:t>。</w:t>
            </w:r>
          </w:p>
        </w:tc>
        <w:tc>
          <w:tcPr>
            <w:tcW w:w="2017" w:type="dxa"/>
            <w:vAlign w:val="center"/>
          </w:tcPr>
          <w:p w14:paraId="49A096D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自然资源和规划局、苏州市吴江区自然资源和规划局、常熟市自然资源和规划局、张家港市自然资源和规划局、昆山市自然资源和规划局、太仓市自然资源和规划局、苏州工业园区规划建设委员会和镇域（街道）综合执法局。</w:t>
            </w:r>
          </w:p>
        </w:tc>
      </w:tr>
      <w:tr w14:paraId="2AF7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shd w:val="clear" w:color="auto" w:fill="auto"/>
            <w:vAlign w:val="center"/>
          </w:tcPr>
          <w:p w14:paraId="3994EAF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2</w:t>
            </w:r>
          </w:p>
        </w:tc>
        <w:tc>
          <w:tcPr>
            <w:tcW w:w="3112" w:type="dxa"/>
            <w:shd w:val="clear" w:color="auto" w:fill="auto"/>
            <w:vAlign w:val="center"/>
          </w:tcPr>
          <w:p w14:paraId="46ECB2E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未经批准非法占用土地</w:t>
            </w:r>
          </w:p>
        </w:tc>
        <w:tc>
          <w:tcPr>
            <w:tcW w:w="2693" w:type="dxa"/>
            <w:shd w:val="clear" w:color="auto" w:fill="auto"/>
            <w:vAlign w:val="center"/>
          </w:tcPr>
          <w:p w14:paraId="2549E682">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（一）当事人为初次违法，属于“未供即用”类违法用地，已具备按国有土地划拨或集体土地使用方式完善用地手续条件（集体经营性建设用地除外），且已提交完善用地手续申请的；</w:t>
            </w:r>
          </w:p>
          <w:p w14:paraId="025BF9AD">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（二）行政处罚告知作出前，当事人主动拆除整改到位或恢复原状的；</w:t>
            </w:r>
          </w:p>
          <w:p w14:paraId="38DABA1B">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（三）符合设施农用地办理条件，经督促在规定期限内办理设施农用地备案手续的；</w:t>
            </w:r>
          </w:p>
          <w:p w14:paraId="02A3295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（四）符合临时用地办理条件，经督促在规定期限内办理临时用地审批手续的。</w:t>
            </w:r>
          </w:p>
        </w:tc>
        <w:tc>
          <w:tcPr>
            <w:tcW w:w="5812" w:type="dxa"/>
            <w:shd w:val="clear" w:color="auto" w:fill="auto"/>
            <w:vAlign w:val="top"/>
          </w:tcPr>
          <w:p w14:paraId="2F9DFA50">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《中华人民共和国土地管理法》第七十七条</w:t>
            </w:r>
            <w:r>
              <w:rPr>
                <w:rFonts w:hint="eastAsia" w:asciiTheme="minorEastAsia" w:hAnsiTheme="minorEastAsia" w:eastAsiaTheme="minorEastAsia" w:cstheme="minorEastAsia"/>
                <w:spacing w:val="-2"/>
                <w:kern w:val="0"/>
                <w:sz w:val="22"/>
                <w:szCs w:val="20"/>
                <w:lang w:val="en-US" w:eastAsia="zh-CN"/>
              </w:rPr>
              <w:t xml:space="preserve"> 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w:t>
            </w:r>
            <w:r>
              <w:rPr>
                <w:rFonts w:hint="eastAsia" w:asciiTheme="minorEastAsia" w:hAnsiTheme="minorEastAsia" w:eastAsiaTheme="minorEastAsia" w:cstheme="minorEastAsia"/>
                <w:spacing w:val="-2"/>
                <w:kern w:val="0"/>
                <w:sz w:val="22"/>
                <w:szCs w:val="20"/>
                <w:lang w:eastAsia="zh-CN"/>
              </w:rPr>
              <w:t>；</w:t>
            </w:r>
          </w:p>
          <w:p w14:paraId="40DABC7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《中华人民共和国行政处罚法》第三十三条</w:t>
            </w:r>
            <w:r>
              <w:rPr>
                <w:rFonts w:hint="eastAsia" w:asciiTheme="minorEastAsia" w:hAnsiTheme="minorEastAsia" w:eastAsiaTheme="minorEastAsia" w:cstheme="minorEastAsia"/>
                <w:spacing w:val="-2"/>
                <w:kern w:val="0"/>
                <w:sz w:val="22"/>
                <w:szCs w:val="20"/>
                <w:lang w:val="en-US" w:eastAsia="zh-CN"/>
              </w:rPr>
              <w:t xml:space="preserve"> 违法行为轻微并及时改正，没有造成危害后果的，不予行政处罚。初次违法且危害后果轻微并及时改正的，可以不予行政处罚。</w:t>
            </w:r>
          </w:p>
          <w:p w14:paraId="6B35A3F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当事人有证据足以证明没有主观过错的，不予行政处罚。法律、行政法规另有规定的，从其规定。</w:t>
            </w:r>
          </w:p>
          <w:p w14:paraId="3FB8FB6C">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　　对当事人的违法行为依法不予行政处罚的，行政机关应当对当事人进行教育。</w:t>
            </w:r>
            <w:r>
              <w:rPr>
                <w:rFonts w:hint="eastAsia" w:asciiTheme="minorEastAsia" w:hAnsiTheme="minorEastAsia" w:eastAsiaTheme="minorEastAsia" w:cstheme="minorEastAsia"/>
                <w:spacing w:val="-2"/>
                <w:kern w:val="0"/>
                <w:sz w:val="22"/>
                <w:szCs w:val="20"/>
                <w:lang w:eastAsia="zh-CN"/>
              </w:rPr>
              <w:t>；</w:t>
            </w:r>
          </w:p>
          <w:p w14:paraId="3B61578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《自然资源违法行为立案查处工作规程（试行）》第4.3.1条 违法行为轻微并及时改正，没有造成危害后果的，不予行政处罚。初次违法且危害后果轻微并及时改正的，可以不予行政处罚。</w:t>
            </w:r>
          </w:p>
          <w:p w14:paraId="012B75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当事人有证据足以证明没有主观过错的，不予行政处罚。法律、行政法规另有规定的，从其规定。</w:t>
            </w:r>
          </w:p>
          <w:p w14:paraId="5B871F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对当事人的违法行为依法不予行政处罚的，自然资源主管部门应当对当事人进行教育。；</w:t>
            </w:r>
          </w:p>
          <w:p w14:paraId="5348099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《江苏省土地行政处罚裁量权实施办法》第五条</w:t>
            </w:r>
            <w:r>
              <w:rPr>
                <w:rFonts w:hint="eastAsia" w:asciiTheme="minorEastAsia" w:hAnsiTheme="minorEastAsia" w:eastAsiaTheme="minorEastAsia" w:cstheme="minorEastAsia"/>
                <w:spacing w:val="-2"/>
                <w:kern w:val="0"/>
                <w:sz w:val="22"/>
                <w:szCs w:val="20"/>
                <w:lang w:val="en-US" w:eastAsia="zh-CN"/>
              </w:rPr>
              <w:t xml:space="preserve"> </w:t>
            </w:r>
            <w:r>
              <w:rPr>
                <w:rFonts w:hint="eastAsia" w:asciiTheme="minorEastAsia" w:hAnsiTheme="minorEastAsia" w:eastAsiaTheme="minorEastAsia" w:cstheme="minorEastAsia"/>
                <w:spacing w:val="-2"/>
                <w:kern w:val="0"/>
                <w:sz w:val="22"/>
                <w:szCs w:val="20"/>
                <w:lang w:eastAsia="zh-CN"/>
              </w:rPr>
              <w:t>。</w:t>
            </w:r>
          </w:p>
        </w:tc>
        <w:tc>
          <w:tcPr>
            <w:tcW w:w="2017" w:type="dxa"/>
            <w:vAlign w:val="center"/>
          </w:tcPr>
          <w:p w14:paraId="2706915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自然资源和规划局、苏州市吴江区自然资源和规划局、常熟市自然资源和规划局、张家港市自然资源和规划局、昆山市自然资源和规划局、太仓市自然资源和规划局、苏州工业园区规划建设委员会和镇域（街道）综合执法局。</w:t>
            </w:r>
          </w:p>
        </w:tc>
      </w:tr>
      <w:tr w14:paraId="3E88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shd w:val="clear" w:color="auto" w:fill="auto"/>
            <w:vAlign w:val="center"/>
          </w:tcPr>
          <w:p w14:paraId="7FF8D9E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shd w:val="clear" w:color="auto" w:fill="auto"/>
            <w:vAlign w:val="center"/>
          </w:tcPr>
          <w:p w14:paraId="79C114A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对临时用地期满之日起一年内未完成复垦或者未恢复种植条件的；</w:t>
            </w:r>
            <w:r>
              <w:rPr>
                <w:rFonts w:hint="eastAsia" w:asciiTheme="minorEastAsia" w:hAnsiTheme="minorEastAsia" w:eastAsiaTheme="minorEastAsia" w:cstheme="minorEastAsia"/>
                <w:spacing w:val="-2"/>
                <w:kern w:val="0"/>
                <w:sz w:val="22"/>
                <w:szCs w:val="20"/>
                <w:lang w:val="en-US" w:eastAsia="zh-CN"/>
              </w:rPr>
              <w:t>或</w:t>
            </w:r>
            <w:r>
              <w:rPr>
                <w:rFonts w:hint="eastAsia" w:asciiTheme="minorEastAsia" w:hAnsiTheme="minorEastAsia" w:eastAsiaTheme="minorEastAsia" w:cstheme="minorEastAsia"/>
                <w:spacing w:val="-2"/>
                <w:kern w:val="0"/>
                <w:sz w:val="22"/>
                <w:szCs w:val="20"/>
                <w:lang w:eastAsia="zh-CN"/>
              </w:rPr>
              <w:t>在临时使用的土地上修建永久性建筑物、构筑物</w:t>
            </w:r>
          </w:p>
        </w:tc>
        <w:tc>
          <w:tcPr>
            <w:tcW w:w="2693" w:type="dxa"/>
            <w:shd w:val="clear" w:color="auto" w:fill="auto"/>
            <w:vAlign w:val="center"/>
          </w:tcPr>
          <w:p w14:paraId="299A82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w:t>
            </w:r>
            <w:r>
              <w:rPr>
                <w:rFonts w:hint="eastAsia" w:asciiTheme="minorEastAsia" w:hAnsiTheme="minorEastAsia" w:eastAsiaTheme="minorEastAsia" w:cstheme="minorEastAsia"/>
                <w:spacing w:val="-2"/>
                <w:kern w:val="0"/>
                <w:sz w:val="22"/>
                <w:szCs w:val="20"/>
                <w:lang w:eastAsia="zh-CN"/>
              </w:rPr>
              <w:t>行政处罚告知作出前，当事人主动</w:t>
            </w:r>
            <w:r>
              <w:rPr>
                <w:rFonts w:hint="eastAsia" w:asciiTheme="minorEastAsia" w:hAnsiTheme="minorEastAsia" w:eastAsiaTheme="minorEastAsia" w:cstheme="minorEastAsia"/>
                <w:spacing w:val="-2"/>
                <w:kern w:val="0"/>
                <w:sz w:val="22"/>
                <w:szCs w:val="20"/>
                <w:lang w:val="en-US" w:eastAsia="zh-CN"/>
              </w:rPr>
              <w:t>拆除</w:t>
            </w:r>
            <w:r>
              <w:rPr>
                <w:rFonts w:hint="eastAsia" w:asciiTheme="minorEastAsia" w:hAnsiTheme="minorEastAsia" w:eastAsiaTheme="minorEastAsia" w:cstheme="minorEastAsia"/>
                <w:spacing w:val="-2"/>
                <w:kern w:val="0"/>
                <w:sz w:val="22"/>
                <w:szCs w:val="20"/>
                <w:lang w:eastAsia="zh-CN"/>
              </w:rPr>
              <w:t>整改到位或恢复原状，没有造成危害后果的。</w:t>
            </w:r>
          </w:p>
        </w:tc>
        <w:tc>
          <w:tcPr>
            <w:tcW w:w="5812" w:type="dxa"/>
            <w:shd w:val="clear" w:color="auto" w:fill="auto"/>
            <w:vAlign w:val="center"/>
          </w:tcPr>
          <w:p w14:paraId="313AD18C">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《中华人民共和国土地管理法实施条例》第二十条；</w:t>
            </w:r>
          </w:p>
          <w:p w14:paraId="3F58305D">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《中华人民共和国行政处罚法》第三十三条；</w:t>
            </w:r>
          </w:p>
          <w:p w14:paraId="7B0C0424">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《自然资源违法行为立案查处工作规程（试行）》第4.3.1条；</w:t>
            </w:r>
          </w:p>
          <w:p w14:paraId="6851C26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《江苏省土地行政处罚裁量权实施办法》</w:t>
            </w:r>
            <w:r>
              <w:rPr>
                <w:rFonts w:hint="eastAsia" w:asciiTheme="minorEastAsia" w:hAnsiTheme="minorEastAsia" w:eastAsiaTheme="minorEastAsia" w:cstheme="minorEastAsia"/>
                <w:spacing w:val="-2"/>
                <w:kern w:val="0"/>
                <w:sz w:val="22"/>
                <w:szCs w:val="20"/>
                <w:lang w:val="en-US" w:eastAsia="zh-CN"/>
              </w:rPr>
              <w:t>第五条 有下列情形之一的，可以不予行政处罚：</w:t>
            </w:r>
          </w:p>
          <w:p w14:paraId="3E5F481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（一）当事人为初次违法，属于“未供即用”类违法用地，已具备按国有土地划拨或集体土地使用方式完善用地手续条件（集体经营性建设用地除外），且已提交完善用地手续申请的；</w:t>
            </w:r>
          </w:p>
          <w:p w14:paraId="421B8D3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（二）行政处罚告知作出前，当事人主动拆除整改到位或恢复原状的；</w:t>
            </w:r>
          </w:p>
          <w:p w14:paraId="7F95671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（三）符合设施农用地办理条件，经督促在规定期限内办理设施农用地备案手续的；</w:t>
            </w:r>
          </w:p>
          <w:p w14:paraId="0106F85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（四）符合临时用地办理条件，经督促在规定期限内办理临时用地审批手续的；</w:t>
            </w:r>
          </w:p>
          <w:p w14:paraId="6C8D904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（五）其他依法可以不予行政处罚的。</w:t>
            </w:r>
          </w:p>
          <w:p w14:paraId="4137940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对当事人的违法行为不予行政处罚的，行政机关应当对当事人进行教育，并全过程记录。</w:t>
            </w:r>
          </w:p>
        </w:tc>
        <w:tc>
          <w:tcPr>
            <w:tcW w:w="2017" w:type="dxa"/>
            <w:vAlign w:val="center"/>
          </w:tcPr>
          <w:p w14:paraId="532E742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自然资源和规划局、苏州市吴江区自然资源和规划局、常熟市自然资源和规划局、张家港市自然资源和规划局、昆山市自然资源和规划局、太仓市自然资源和规划局、苏州工业园区规划建设委员会和镇域（街道）综合执法局。</w:t>
            </w:r>
          </w:p>
        </w:tc>
      </w:tr>
      <w:tr w14:paraId="1730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shd w:val="clear" w:color="auto" w:fill="auto"/>
            <w:vAlign w:val="center"/>
          </w:tcPr>
          <w:p w14:paraId="7081354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shd w:val="clear" w:color="auto" w:fill="auto"/>
            <w:vAlign w:val="center"/>
          </w:tcPr>
          <w:p w14:paraId="71C791B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在土地利用总体规划制定前已建的不符合土地利用总体规划确定用途的建筑物、构筑物进行重建、扩建</w:t>
            </w:r>
          </w:p>
        </w:tc>
        <w:tc>
          <w:tcPr>
            <w:tcW w:w="2693" w:type="dxa"/>
            <w:shd w:val="clear" w:color="auto" w:fill="auto"/>
            <w:vAlign w:val="center"/>
          </w:tcPr>
          <w:p w14:paraId="4DB3886C">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行政处罚告知作出前，当事人主动拆除整改到位或恢复原状，没有造成危害后果的。</w:t>
            </w:r>
          </w:p>
          <w:p w14:paraId="7FE0EB9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5812" w:type="dxa"/>
            <w:shd w:val="clear" w:color="auto" w:fill="auto"/>
            <w:vAlign w:val="top"/>
          </w:tcPr>
          <w:p w14:paraId="2AC83349">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《中华人民共和国土地管理法》第六十五条</w:t>
            </w:r>
            <w:r>
              <w:rPr>
                <w:rFonts w:hint="eastAsia" w:asciiTheme="minorEastAsia" w:hAnsiTheme="minorEastAsia" w:eastAsiaTheme="minorEastAsia" w:cstheme="minorEastAsia"/>
                <w:spacing w:val="-2"/>
                <w:kern w:val="0"/>
                <w:sz w:val="22"/>
                <w:szCs w:val="20"/>
                <w:lang w:val="en-US" w:eastAsia="zh-CN"/>
              </w:rPr>
              <w:t xml:space="preserve"> 在土地利用总体规划制定前已建的不符合土地利用总体规划确定的用途的建筑物、构筑物，不得重建、扩建。</w:t>
            </w:r>
            <w:r>
              <w:rPr>
                <w:rFonts w:hint="eastAsia" w:asciiTheme="minorEastAsia" w:hAnsiTheme="minorEastAsia" w:eastAsiaTheme="minorEastAsia" w:cstheme="minorEastAsia"/>
                <w:spacing w:val="-2"/>
                <w:kern w:val="0"/>
                <w:sz w:val="22"/>
                <w:szCs w:val="20"/>
                <w:lang w:eastAsia="zh-CN"/>
              </w:rPr>
              <w:t>；</w:t>
            </w:r>
          </w:p>
          <w:p w14:paraId="22F654E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《中华人民共和国行政处罚法》第三十三条</w:t>
            </w:r>
            <w:r>
              <w:rPr>
                <w:rFonts w:hint="eastAsia" w:asciiTheme="minorEastAsia" w:hAnsiTheme="minorEastAsia" w:eastAsiaTheme="minorEastAsia" w:cstheme="minorEastAsia"/>
                <w:spacing w:val="-2"/>
                <w:kern w:val="0"/>
                <w:sz w:val="22"/>
                <w:szCs w:val="20"/>
                <w:lang w:val="en-US" w:eastAsia="zh-CN"/>
              </w:rPr>
              <w:t xml:space="preserve"> 违法行为轻微并及时改正，没有造成危害后果的，不予行政处罚。初次违法且危害后果轻微并及时改正的，可以不予行政处罚。</w:t>
            </w:r>
          </w:p>
          <w:p w14:paraId="675D8B0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当事人有证据足以证明没有主观过错的，不予行政处罚。法律、行政法规另有规定的，从其规定。</w:t>
            </w:r>
          </w:p>
          <w:p w14:paraId="7C825450">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　　对当事人的违法行为依法不予行政处罚的，行政机关应当对当事人进行教育。</w:t>
            </w:r>
            <w:r>
              <w:rPr>
                <w:rFonts w:hint="eastAsia" w:asciiTheme="minorEastAsia" w:hAnsiTheme="minorEastAsia" w:eastAsiaTheme="minorEastAsia" w:cstheme="minorEastAsia"/>
                <w:spacing w:val="-2"/>
                <w:kern w:val="0"/>
                <w:sz w:val="22"/>
                <w:szCs w:val="20"/>
                <w:lang w:eastAsia="zh-CN"/>
              </w:rPr>
              <w:t>；</w:t>
            </w:r>
          </w:p>
          <w:p w14:paraId="7F7739B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《自然资源违法行为立案查处工作规程（试行）》第4.3.1条 违法行为轻微并及时改正，没有造成危害后果的，不予行政处罚。初次违法且危害后果轻微并及时改正的，可以不予行政处罚。</w:t>
            </w:r>
          </w:p>
          <w:p w14:paraId="2914BD8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当事人有证据足以证明没有主观过错的，不予行政处罚。法律、行政法规另有规定的，从其规定。</w:t>
            </w:r>
          </w:p>
          <w:p w14:paraId="130EE5E7">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对当事人的违法行为依法不予行政处罚的，自然资源主管部门应当对当事人进行教育。；</w:t>
            </w:r>
          </w:p>
          <w:p w14:paraId="30B717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《江苏省土地行政处罚裁量权实施办法》</w:t>
            </w:r>
            <w:r>
              <w:rPr>
                <w:rFonts w:hint="eastAsia" w:asciiTheme="minorEastAsia" w:hAnsiTheme="minorEastAsia" w:eastAsiaTheme="minorEastAsia" w:cstheme="minorEastAsia"/>
                <w:spacing w:val="-2"/>
                <w:kern w:val="0"/>
                <w:sz w:val="22"/>
                <w:szCs w:val="20"/>
                <w:lang w:val="en-US" w:eastAsia="zh-CN"/>
              </w:rPr>
              <w:t>第五条 有下列情形之一的，可以不予行政处罚：</w:t>
            </w:r>
          </w:p>
          <w:p w14:paraId="1E71F88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（一）当事人为初次违法，属于“未供即用”类违法用地，已具备按国有土地划拨或集体土地使用方式完善用地手续条件（集体经营性建设用地除外），且已提交完善用地手续申请的；</w:t>
            </w:r>
          </w:p>
          <w:p w14:paraId="42C4F81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（二）行政处罚告知作出前，当事人主动拆除整改到位或恢复原状的；</w:t>
            </w:r>
          </w:p>
          <w:p w14:paraId="40D5060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（三）符合设施农用地办理条件，经督促在规定期限内办理设施农用地备案手续的；</w:t>
            </w:r>
          </w:p>
          <w:p w14:paraId="4CB336C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（四）符合临时用地办理条件，经督促在规定期限内办理临时用地审批手续的；</w:t>
            </w:r>
          </w:p>
          <w:p w14:paraId="13A8935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（五）其他依法可以不予行政处罚的。</w:t>
            </w:r>
          </w:p>
          <w:p w14:paraId="1FEF6A7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对当事人的违法行为不予行政处罚的，行政机关应当对当事人进行教育，并全过程记录。</w:t>
            </w:r>
          </w:p>
        </w:tc>
        <w:tc>
          <w:tcPr>
            <w:tcW w:w="2017" w:type="dxa"/>
            <w:vAlign w:val="center"/>
          </w:tcPr>
          <w:p w14:paraId="378B6CE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自然资源和规划局、苏州市吴江区自然资源和规划局、常熟市自然资源和规划局、张家港市自然资源和规划局、昆山市自然资源和规划局、太仓市自然资源和规划局、苏州工业园区规划建设委员会和镇域（街道）综合执法局。</w:t>
            </w:r>
          </w:p>
        </w:tc>
      </w:tr>
      <w:tr w14:paraId="2019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shd w:val="clear" w:color="auto" w:fill="auto"/>
            <w:vAlign w:val="center"/>
          </w:tcPr>
          <w:p w14:paraId="3E580BF7">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shd w:val="clear" w:color="auto" w:fill="auto"/>
            <w:vAlign w:val="center"/>
          </w:tcPr>
          <w:p w14:paraId="7C79B3D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未经验线，擅自开工</w:t>
            </w:r>
          </w:p>
        </w:tc>
        <w:tc>
          <w:tcPr>
            <w:tcW w:w="2693" w:type="dxa"/>
            <w:shd w:val="clear" w:color="auto" w:fill="auto"/>
            <w:vAlign w:val="center"/>
          </w:tcPr>
          <w:p w14:paraId="230B053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初次违法，及时主动停止建设，在作出行政处罚决定前，已按《责令改正违法行为通知书》内容及时改正，补办验线。</w:t>
            </w:r>
          </w:p>
        </w:tc>
        <w:tc>
          <w:tcPr>
            <w:tcW w:w="5812" w:type="dxa"/>
            <w:shd w:val="clear" w:color="auto" w:fill="auto"/>
            <w:vAlign w:val="center"/>
          </w:tcPr>
          <w:p w14:paraId="5419DD8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《中华人民共和国行政处罚法》第三十三条</w:t>
            </w:r>
            <w:r>
              <w:rPr>
                <w:rFonts w:hint="eastAsia" w:asciiTheme="minorEastAsia" w:hAnsiTheme="minorEastAsia" w:eastAsiaTheme="minorEastAsia" w:cstheme="minorEastAsia"/>
                <w:spacing w:val="-2"/>
                <w:kern w:val="0"/>
                <w:sz w:val="22"/>
                <w:szCs w:val="20"/>
                <w:lang w:val="en-US" w:eastAsia="zh-CN"/>
              </w:rPr>
              <w:t xml:space="preserve"> 违法行为轻微并及时改正，没有造成危害后果的，不予行政处罚。初次违法且危害后果轻微并及时改正的，可以不予行政处罚。</w:t>
            </w:r>
          </w:p>
          <w:p w14:paraId="2EC3ACE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当事人有证据足以证明没有主观过错的，不予行政处罚。法律、行政法规另有规定的，从其规定。</w:t>
            </w:r>
          </w:p>
          <w:p w14:paraId="28214ADE">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　　对当事人的违法行为依法不予行政处罚的，行政机关应当对当事人进行教育。</w:t>
            </w:r>
            <w:r>
              <w:rPr>
                <w:rFonts w:hint="eastAsia" w:asciiTheme="minorEastAsia" w:hAnsiTheme="minorEastAsia" w:eastAsiaTheme="minorEastAsia" w:cstheme="minorEastAsia"/>
                <w:spacing w:val="-2"/>
                <w:kern w:val="0"/>
                <w:sz w:val="22"/>
                <w:szCs w:val="20"/>
                <w:lang w:eastAsia="zh-CN"/>
              </w:rPr>
              <w:t>；</w:t>
            </w:r>
          </w:p>
          <w:p w14:paraId="0299C138">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《江苏省城乡规划条例》第六十四条</w:t>
            </w:r>
            <w:r>
              <w:rPr>
                <w:rFonts w:hint="eastAsia" w:asciiTheme="minorEastAsia" w:hAnsiTheme="minorEastAsia" w:eastAsiaTheme="minorEastAsia" w:cstheme="minorEastAsia"/>
                <w:spacing w:val="-2"/>
                <w:kern w:val="0"/>
                <w:sz w:val="22"/>
                <w:szCs w:val="20"/>
                <w:lang w:val="en-US" w:eastAsia="zh-CN"/>
              </w:rPr>
              <w:t xml:space="preserve"> 未经验线，建设单位或者个人擅自开工的，由城乡规划主管部门责令停止建设，限期改正，可以处以一千元以上五千元以下的罚款</w:t>
            </w:r>
            <w:r>
              <w:rPr>
                <w:rFonts w:hint="eastAsia" w:asciiTheme="minorEastAsia" w:hAnsiTheme="minorEastAsia" w:eastAsiaTheme="minorEastAsia" w:cstheme="minorEastAsia"/>
                <w:spacing w:val="-2"/>
                <w:kern w:val="0"/>
                <w:sz w:val="22"/>
                <w:szCs w:val="20"/>
                <w:lang w:eastAsia="zh-CN"/>
              </w:rPr>
              <w:t>。</w:t>
            </w:r>
          </w:p>
          <w:p w14:paraId="729F0A0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《自然资源违法行为立案查处工作规程（试行）》第</w:t>
            </w:r>
            <w:r>
              <w:rPr>
                <w:rFonts w:hint="eastAsia" w:asciiTheme="minorEastAsia" w:hAnsiTheme="minorEastAsia" w:eastAsiaTheme="minorEastAsia" w:cstheme="minorEastAsia"/>
                <w:spacing w:val="-2"/>
                <w:kern w:val="0"/>
                <w:sz w:val="22"/>
                <w:szCs w:val="20"/>
                <w:lang w:val="en-US" w:eastAsia="zh-CN"/>
              </w:rPr>
              <w:t>2.4条 核查后，应当根据立案或者不予立案的建议填写《立案（不予立案）呈批表》，报自然资源主管部门负责人审批。符合立案条件的，自然资源主管部门应当在十个工作日内予以立案。</w:t>
            </w:r>
          </w:p>
          <w:p w14:paraId="6789918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《立案（不予立案）呈批表》应当载明案件来源、当事人基本情况、涉嫌违法事实、相关建议等内容。必要时，一并提出暂停办理与案件相关的自然资源审批、登记等手续的建议。。</w:t>
            </w:r>
          </w:p>
        </w:tc>
        <w:tc>
          <w:tcPr>
            <w:tcW w:w="2017" w:type="dxa"/>
            <w:vAlign w:val="center"/>
          </w:tcPr>
          <w:p w14:paraId="02AE18D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自然资源和规划局、苏州市吴江区自然资源和规划局、常熟市自然资源和规划局、张家港市自然资源和规划局、昆山市自然资源和规划局、太仓市自然资源和规划局、苏州工业园区规划建设委员会和镇域（街道）综合执法局。</w:t>
            </w:r>
          </w:p>
        </w:tc>
      </w:tr>
      <w:tr w14:paraId="49F17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11" w:hRule="atLeast"/>
          <w:jc w:val="center"/>
        </w:trPr>
        <w:tc>
          <w:tcPr>
            <w:tcW w:w="432" w:type="dxa"/>
            <w:noWrap w:val="0"/>
            <w:vAlign w:val="center"/>
          </w:tcPr>
          <w:p w14:paraId="069328F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1</w:t>
            </w:r>
          </w:p>
        </w:tc>
        <w:tc>
          <w:tcPr>
            <w:tcW w:w="3112" w:type="dxa"/>
            <w:noWrap w:val="0"/>
            <w:vAlign w:val="center"/>
          </w:tcPr>
          <w:p w14:paraId="11FC058D">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建设单位未依法报批建设项目环境影响报告书、报告表，或者未按规定重新报批或者报请重新审核环境影响报告书、报告表，擅自开工建设</w:t>
            </w:r>
          </w:p>
        </w:tc>
        <w:tc>
          <w:tcPr>
            <w:tcW w:w="2693" w:type="dxa"/>
            <w:noWrap w:val="0"/>
            <w:vAlign w:val="center"/>
          </w:tcPr>
          <w:p w14:paraId="5DC59E1F">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未批先建项目处于设备安装阶段，未发现污染后果，且停止建设或者恢复原状的</w:t>
            </w:r>
          </w:p>
        </w:tc>
        <w:tc>
          <w:tcPr>
            <w:tcW w:w="5812" w:type="dxa"/>
            <w:noWrap w:val="0"/>
            <w:vAlign w:val="center"/>
          </w:tcPr>
          <w:p w14:paraId="721A660B">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《中华人民共和国环境影响评价法》第三十一条第一款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p>
        </w:tc>
        <w:tc>
          <w:tcPr>
            <w:tcW w:w="2017" w:type="dxa"/>
            <w:noWrap w:val="0"/>
            <w:vAlign w:val="center"/>
          </w:tcPr>
          <w:p w14:paraId="43252224">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苏州市生态环境局、苏州工业园区生态环境局及其他行使相关行政处罚权的机构</w:t>
            </w:r>
          </w:p>
        </w:tc>
      </w:tr>
      <w:tr w14:paraId="7C768A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721" w:hRule="atLeast"/>
          <w:jc w:val="center"/>
        </w:trPr>
        <w:tc>
          <w:tcPr>
            <w:tcW w:w="432" w:type="dxa"/>
            <w:noWrap w:val="0"/>
            <w:vAlign w:val="center"/>
          </w:tcPr>
          <w:p w14:paraId="1E31A50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41400829">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建设单位在项目建设过程中未同时组织实施环境影响报告书、环境影响报告表及其审批部门审批决定中提出的环境保护对策措施</w:t>
            </w:r>
          </w:p>
        </w:tc>
        <w:tc>
          <w:tcPr>
            <w:tcW w:w="2693" w:type="dxa"/>
            <w:noWrap w:val="0"/>
            <w:vAlign w:val="center"/>
          </w:tcPr>
          <w:p w14:paraId="67164D18">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建设项目未实际产生污染物，且违法行为在规定期限内改正完毕的</w:t>
            </w:r>
          </w:p>
        </w:tc>
        <w:tc>
          <w:tcPr>
            <w:tcW w:w="5812" w:type="dxa"/>
            <w:noWrap w:val="0"/>
            <w:vAlign w:val="center"/>
          </w:tcPr>
          <w:p w14:paraId="0F1582A6">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《建设项目环境保护管理条例》第二十二条第二款 违反本条例规定，建设单位在项目建设过程中未同时组织实施环境影响报告书、环境影响报告表及其审批部门审批决定中提出的环境保护对策措施的，由建设项目所在地县级以上环境保护行政主管部门责令限期改正，处20万元以上100万元以下的罚款；逾期不改正的，责令停止建设。</w:t>
            </w:r>
          </w:p>
        </w:tc>
        <w:tc>
          <w:tcPr>
            <w:tcW w:w="2017" w:type="dxa"/>
            <w:noWrap w:val="0"/>
            <w:vAlign w:val="center"/>
          </w:tcPr>
          <w:p w14:paraId="16567FE3">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苏州市生态环境局、苏州工业园区生态环境局及其他行使相关行政处罚权的机构</w:t>
            </w:r>
          </w:p>
        </w:tc>
      </w:tr>
      <w:tr w14:paraId="1E0769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721" w:hRule="atLeast"/>
          <w:jc w:val="center"/>
        </w:trPr>
        <w:tc>
          <w:tcPr>
            <w:tcW w:w="432" w:type="dxa"/>
            <w:noWrap w:val="0"/>
            <w:vAlign w:val="center"/>
          </w:tcPr>
          <w:p w14:paraId="6229570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7977CE12">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需要配套建设的环境保护设施未经验收，建设项目即投入生产或者使用</w:t>
            </w:r>
          </w:p>
        </w:tc>
        <w:tc>
          <w:tcPr>
            <w:tcW w:w="2693" w:type="dxa"/>
            <w:noWrap w:val="0"/>
            <w:vAlign w:val="center"/>
          </w:tcPr>
          <w:p w14:paraId="4FA16C45">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建设项目已配套建设污染防治设施</w:t>
            </w:r>
            <w:r>
              <w:rPr>
                <w:rFonts w:hint="eastAsia" w:asciiTheme="minorEastAsia" w:hAnsiTheme="minorEastAsia" w:eastAsiaTheme="minorEastAsia" w:cstheme="minorEastAsia"/>
                <w:spacing w:val="-2"/>
                <w:kern w:val="0"/>
                <w:sz w:val="22"/>
                <w:szCs w:val="20"/>
                <w:lang w:val="en-US" w:eastAsia="zh-CN"/>
              </w:rPr>
              <w:t>并正常运行，</w:t>
            </w:r>
            <w:r>
              <w:rPr>
                <w:rFonts w:hint="eastAsia" w:asciiTheme="minorEastAsia" w:hAnsiTheme="minorEastAsia" w:eastAsiaTheme="minorEastAsia" w:cstheme="minorEastAsia"/>
                <w:spacing w:val="-2"/>
                <w:kern w:val="0"/>
                <w:sz w:val="22"/>
                <w:szCs w:val="20"/>
                <w:lang w:eastAsia="zh-CN"/>
              </w:rPr>
              <w:t>且在规定期限内完成验收或主动停产、主动关闭项目、恢复原状的</w:t>
            </w:r>
          </w:p>
        </w:tc>
        <w:tc>
          <w:tcPr>
            <w:tcW w:w="5812" w:type="dxa"/>
            <w:noWrap w:val="0"/>
            <w:vAlign w:val="center"/>
          </w:tcPr>
          <w:p w14:paraId="6E47177B">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《建设项目环境保护管理条例》第二十三条第一款 违反本条例规定，需要配套建设的环境保护设施未建成、未经验收或者验收不合格，建设项目即投入生产或者使用，或者在环境保护设施验收中弄虚作假的，由县级以上环境保护行政主管部门责令限期改正，处20万元以上100万元以下的罚款；逾期不改正的，处100万元以上200万元以下的罚款；对直接负责的主管人员和其他责任人员，处5万元以上20万元以下的罚款；造成重大环境污染或者生态破坏的，责令停止生产或者使用，或者报经有批准权的人民政府批准，责令关闭。</w:t>
            </w:r>
          </w:p>
        </w:tc>
        <w:tc>
          <w:tcPr>
            <w:tcW w:w="2017" w:type="dxa"/>
            <w:noWrap w:val="0"/>
            <w:vAlign w:val="center"/>
          </w:tcPr>
          <w:p w14:paraId="3A98BF9B">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苏州市生态环境局、苏州工业园区生态环境局及其他行使相关行政处罚权的机构</w:t>
            </w:r>
          </w:p>
        </w:tc>
      </w:tr>
      <w:tr w14:paraId="540A3D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721" w:hRule="atLeast"/>
          <w:jc w:val="center"/>
        </w:trPr>
        <w:tc>
          <w:tcPr>
            <w:tcW w:w="432" w:type="dxa"/>
            <w:noWrap w:val="0"/>
            <w:vAlign w:val="center"/>
          </w:tcPr>
          <w:p w14:paraId="6DDB090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7F565C5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未按照国家环境保护标准贮存危险废物</w:t>
            </w:r>
          </w:p>
        </w:tc>
        <w:tc>
          <w:tcPr>
            <w:tcW w:w="2693" w:type="dxa"/>
            <w:noWrap w:val="0"/>
            <w:vAlign w:val="center"/>
          </w:tcPr>
          <w:p w14:paraId="1C168B6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不规范贮存危险废物数量小于0.1吨（包括0.1吨），未发现污染后果，且违法行为在规定期限内改正完毕的</w:t>
            </w:r>
          </w:p>
        </w:tc>
        <w:tc>
          <w:tcPr>
            <w:tcW w:w="5812" w:type="dxa"/>
            <w:noWrap w:val="0"/>
            <w:vAlign w:val="center"/>
          </w:tcPr>
          <w:p w14:paraId="3D08D3F8">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《中华人民共和国固体废物污染环境防治法》第一百一十二条 违反本法规定，有下列行为之一，由生态环境主管部门责令改正，处以罚款，没收违法所得；情节严重的，报经有批准权的人民政府批准，可以责令停业或者关闭：（六）未按照国家环境保护标准贮存、利用、处置危险废物或者将危险废物混入非危险废物中贮存的；</w:t>
            </w:r>
          </w:p>
          <w:p w14:paraId="68D23422">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有前款第一项、第二项、第五项、第六项、第七项、第八项、第九项、第十二项、第十三项行为之一，处十万元以上一百万元以下的罚款。</w:t>
            </w:r>
          </w:p>
        </w:tc>
        <w:tc>
          <w:tcPr>
            <w:tcW w:w="2017" w:type="dxa"/>
            <w:noWrap w:val="0"/>
            <w:vAlign w:val="center"/>
          </w:tcPr>
          <w:p w14:paraId="70515990">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苏州市生态环境局、苏州工业园区生态环境局及其他行使相关行政处罚权的机构</w:t>
            </w:r>
          </w:p>
        </w:tc>
      </w:tr>
      <w:tr w14:paraId="414C72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32" w:type="dxa"/>
            <w:noWrap w:val="0"/>
            <w:vAlign w:val="center"/>
          </w:tcPr>
          <w:p w14:paraId="10A0A0B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noWrap w:val="0"/>
            <w:vAlign w:val="center"/>
          </w:tcPr>
          <w:p w14:paraId="3BE95BCA">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超过污染物排放标准</w:t>
            </w:r>
            <w:r>
              <w:rPr>
                <w:rFonts w:hint="eastAsia" w:asciiTheme="minorEastAsia" w:hAnsiTheme="minorEastAsia" w:eastAsiaTheme="minorEastAsia" w:cstheme="minorEastAsia"/>
                <w:spacing w:val="-2"/>
                <w:kern w:val="0"/>
                <w:sz w:val="22"/>
                <w:szCs w:val="20"/>
                <w:lang w:val="en-US" w:eastAsia="zh-CN"/>
              </w:rPr>
              <w:t>或排污许可证许可排放浓度</w:t>
            </w:r>
            <w:r>
              <w:rPr>
                <w:rFonts w:hint="eastAsia" w:asciiTheme="minorEastAsia" w:hAnsiTheme="minorEastAsia" w:eastAsiaTheme="minorEastAsia" w:cstheme="minorEastAsia"/>
                <w:spacing w:val="-2"/>
                <w:kern w:val="0"/>
                <w:sz w:val="22"/>
                <w:szCs w:val="20"/>
                <w:lang w:eastAsia="zh-CN"/>
              </w:rPr>
              <w:t>排放污染物</w:t>
            </w:r>
          </w:p>
        </w:tc>
        <w:tc>
          <w:tcPr>
            <w:tcW w:w="2693" w:type="dxa"/>
            <w:noWrap w:val="0"/>
            <w:vAlign w:val="center"/>
          </w:tcPr>
          <w:p w14:paraId="0F7E2DAB">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除第一类污染物、《最高人民法院最高人民检察院关于办理环境污染刑事案件适用法律若干问题的解释》所涉及《关于持久性有机污染物的斯德哥尔摩公约》附件所列物质、含重金属的污染物及列入《有毒有害水污染物名录》的污染物之外，超标排放水污染物（不含色度）仅有一项污染物超过规定排放标准</w:t>
            </w:r>
            <w:r>
              <w:rPr>
                <w:rFonts w:hint="eastAsia" w:asciiTheme="minorEastAsia" w:hAnsiTheme="minorEastAsia" w:eastAsiaTheme="minorEastAsia" w:cstheme="minorEastAsia"/>
                <w:spacing w:val="-2"/>
                <w:kern w:val="0"/>
                <w:sz w:val="22"/>
                <w:szCs w:val="20"/>
                <w:lang w:val="en-US" w:eastAsia="zh-CN"/>
              </w:rPr>
              <w:t>或排污许可证许可排放浓度</w:t>
            </w:r>
            <w:r>
              <w:rPr>
                <w:rFonts w:hint="eastAsia" w:asciiTheme="minorEastAsia" w:hAnsiTheme="minorEastAsia" w:eastAsiaTheme="minorEastAsia" w:cstheme="minorEastAsia"/>
                <w:spacing w:val="-2"/>
                <w:kern w:val="0"/>
                <w:sz w:val="22"/>
                <w:szCs w:val="20"/>
                <w:lang w:eastAsia="zh-CN"/>
              </w:rPr>
              <w:t>且超标幅度不超过10%（包括10%）、超标幅度在±0.5pH以内（包括0.5pH），违法行为在规定期限内改正完毕的</w:t>
            </w:r>
          </w:p>
          <w:p w14:paraId="1ABF5D02">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噪声排放超过排污许可证记载的工业噪声许可排放限值在1分贝以内（包括1分贝），</w:t>
            </w:r>
            <w:r>
              <w:rPr>
                <w:rFonts w:hint="eastAsia" w:asciiTheme="minorEastAsia" w:hAnsiTheme="minorEastAsia" w:eastAsiaTheme="minorEastAsia" w:cstheme="minorEastAsia"/>
                <w:spacing w:val="-2"/>
                <w:kern w:val="0"/>
                <w:sz w:val="22"/>
                <w:szCs w:val="20"/>
                <w:lang w:eastAsia="zh-CN"/>
              </w:rPr>
              <w:t>违法行为在规定期限内改正完毕的</w:t>
            </w:r>
          </w:p>
        </w:tc>
        <w:tc>
          <w:tcPr>
            <w:tcW w:w="5812" w:type="dxa"/>
            <w:noWrap w:val="0"/>
            <w:vAlign w:val="center"/>
          </w:tcPr>
          <w:p w14:paraId="146C5CA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《中华人民共和国水污染防治法》第八十三条 违反本法规定，有下列行为之一的，由县级以上人民政府环境保护主管部门责令改正或者责令限制生产、停产整治，并处十万元以上一百万元以下的罚款；情节严重的，报经有批准权的人民政府批准，责令停业、关闭：（二）超过水污染物排放标准或者超过重点水污染物排放总量控制指标排放水污染物的。</w:t>
            </w:r>
          </w:p>
          <w:p w14:paraId="04D1658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《排污许可管理条例》第三十四条　违反本条例规定，排污单位有下列行为之一的，由生态环境主管部门责令改正或者限制生产、停产整治，处20万元以上100万元以下的罚款；情节严重的，吊销排污许可证，报经有批准权的人民政府批准，责令停业、关闭：（一）超过许可排放浓度、许可排放量排放污染物。</w:t>
            </w:r>
          </w:p>
        </w:tc>
        <w:tc>
          <w:tcPr>
            <w:tcW w:w="2017" w:type="dxa"/>
            <w:noWrap w:val="0"/>
            <w:vAlign w:val="center"/>
          </w:tcPr>
          <w:p w14:paraId="7DD2EF20">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苏州市生态环境局、苏州工业园区生态环境局及其他行使相关行政处罚权的机构</w:t>
            </w:r>
          </w:p>
        </w:tc>
      </w:tr>
      <w:tr w14:paraId="54AAF7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69" w:hRule="atLeast"/>
          <w:jc w:val="center"/>
        </w:trPr>
        <w:tc>
          <w:tcPr>
            <w:tcW w:w="432" w:type="dxa"/>
            <w:noWrap w:val="0"/>
            <w:vAlign w:val="center"/>
          </w:tcPr>
          <w:p w14:paraId="1968A94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noWrap w:val="0"/>
            <w:vAlign w:val="center"/>
          </w:tcPr>
          <w:p w14:paraId="5AB079C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未按照规定对污染物进行监测并保存原始监测记录</w:t>
            </w:r>
          </w:p>
          <w:p w14:paraId="6B18DA9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693" w:type="dxa"/>
            <w:noWrap w:val="0"/>
            <w:vAlign w:val="center"/>
          </w:tcPr>
          <w:p w14:paraId="09AEAB0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排污单位未严格按照排污许可证规定的污染物种类和监测频次开展自行监测，且报告或上传数据缺失监测数据的比例3%以下的</w:t>
            </w:r>
          </w:p>
        </w:tc>
        <w:tc>
          <w:tcPr>
            <w:tcW w:w="5812" w:type="dxa"/>
            <w:noWrap w:val="0"/>
            <w:vAlign w:val="center"/>
          </w:tcPr>
          <w:p w14:paraId="5A575E5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《中华人民共和国大气污染防治法》第一百条 违反本法规定，有下列行为之一的，由县级以上人民政府生态环境主管部门责令改正，处二万元以上二十万元以下的罚款；拒不改正的，责令停产整治：（二）未按照规定对所排放的工业废气和有毒有害大气污染物进行监测并保存原始监测记录的。</w:t>
            </w:r>
          </w:p>
          <w:p w14:paraId="3E10672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《中华人民共和国水污染防治法》第八十二条 违反本法规定，有下列行为之一的，由县级以上人民政府环境保护主管部门责令限期改正，处二万元以上二十万元以下的罚款；逾期不改正的，责令停产整治：（一）未按照规定对所排放的水污染物自行监测，或者未保存原始监测记录的。</w:t>
            </w:r>
          </w:p>
          <w:p w14:paraId="146F2FF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《中华人民共和国噪声污染防治法》第七十六条 违反本法规定，有下列行为之一，由生态环境主管部门责令改正，处二万元以上二十万元以下的罚款；拒不改正的，责令限制生产、停产整治：（一）实行排污许可管理的单位未按照规定对工业噪声开展自行监测，未保存原始监测记录，或者未向社会公开监测结果的；</w:t>
            </w:r>
          </w:p>
          <w:p w14:paraId="3060218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《排污许可管理条例》第三十六条　违反本条例规定，排污单位有下列行为之一的，由生态环境主管部门责令改正，处2万元以上20万元以下的罚款；拒不改正的，责令停产整治：（五）未按照排污许可证规定制定自行监测方案并开展自行监测(六)未按照排污许可证规定保存原始监测记录。</w:t>
            </w:r>
          </w:p>
        </w:tc>
        <w:tc>
          <w:tcPr>
            <w:tcW w:w="2017" w:type="dxa"/>
            <w:noWrap w:val="0"/>
            <w:vAlign w:val="center"/>
          </w:tcPr>
          <w:p w14:paraId="17DA70F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苏州市生态环境局、苏州工业园区生态环境局及其他行使相关行政处罚权的机构</w:t>
            </w:r>
          </w:p>
        </w:tc>
      </w:tr>
      <w:tr w14:paraId="49FFB1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721" w:hRule="atLeast"/>
          <w:jc w:val="center"/>
        </w:trPr>
        <w:tc>
          <w:tcPr>
            <w:tcW w:w="432" w:type="dxa"/>
            <w:noWrap w:val="0"/>
            <w:vAlign w:val="center"/>
          </w:tcPr>
          <w:p w14:paraId="1D14CCA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noWrap w:val="0"/>
            <w:vAlign w:val="center"/>
          </w:tcPr>
          <w:p w14:paraId="3FFAE01F">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产生、收集、贮存、运输、利用、处置固体废物的单位未依法及时公开固体废物污染环境防治信息</w:t>
            </w:r>
          </w:p>
        </w:tc>
        <w:tc>
          <w:tcPr>
            <w:tcW w:w="2693" w:type="dxa"/>
            <w:noWrap w:val="0"/>
            <w:vAlign w:val="center"/>
          </w:tcPr>
          <w:p w14:paraId="27276590">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在规定期限内改正完毕的</w:t>
            </w:r>
          </w:p>
        </w:tc>
        <w:tc>
          <w:tcPr>
            <w:tcW w:w="5812" w:type="dxa"/>
            <w:noWrap w:val="0"/>
            <w:vAlign w:val="center"/>
          </w:tcPr>
          <w:p w14:paraId="680A0787">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《中华人民共和国固体废物污染环境防治法》第一百零二条　违反本法规定，有下列行为之一，由生态环境主管部门责令改正，处以罚款，没收违法所得；情节严重的，报经有批准权的人民政府批准，可以责令停业或者关闭：（一）产生、收集、贮存、运输、利用、处置固体废物的单位未依法及时公开固体废物污染环境防治信息的；</w:t>
            </w:r>
          </w:p>
          <w:p w14:paraId="36CD60B5">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有前款第一项、第八项行为之一，处五万元以上二十万元以下的罚款。</w:t>
            </w:r>
          </w:p>
        </w:tc>
        <w:tc>
          <w:tcPr>
            <w:tcW w:w="2017" w:type="dxa"/>
            <w:noWrap w:val="0"/>
            <w:vAlign w:val="center"/>
          </w:tcPr>
          <w:p w14:paraId="2894E8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苏州市生态环境局、苏州工业园区生态环境局及其他行使相关行政处罚权的机构</w:t>
            </w:r>
          </w:p>
        </w:tc>
      </w:tr>
      <w:tr w14:paraId="6A0048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721" w:hRule="atLeast"/>
          <w:jc w:val="center"/>
        </w:trPr>
        <w:tc>
          <w:tcPr>
            <w:tcW w:w="432" w:type="dxa"/>
            <w:vAlign w:val="center"/>
          </w:tcPr>
          <w:p w14:paraId="7A61C57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vAlign w:val="center"/>
          </w:tcPr>
          <w:p w14:paraId="5009047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未按照国家有关规定制定危险废物管理计划</w:t>
            </w:r>
          </w:p>
        </w:tc>
        <w:tc>
          <w:tcPr>
            <w:tcW w:w="2693" w:type="dxa"/>
            <w:vAlign w:val="center"/>
          </w:tcPr>
          <w:p w14:paraId="21E948B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现场危险废物环境污染防治措施落实到位，已制定危险废物管理计划，但制定不规范，且五个工作日内重新编制管理计划并备案的</w:t>
            </w:r>
          </w:p>
        </w:tc>
        <w:tc>
          <w:tcPr>
            <w:tcW w:w="5812" w:type="dxa"/>
            <w:vAlign w:val="center"/>
          </w:tcPr>
          <w:p w14:paraId="0494D57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《中华人民共和国固体废物污染环境防治法》第一百一十二条　违反本法规定，有下列行为之一，由生态环境主管部门责令改正，处以罚款，没收违法所得；情节严重的，报经有批准权的人民政府批准，可以责令停业或者关闭：（二）未按照国家有关规定制定危险废物管理计划或者申报危险废物有关资料的。</w:t>
            </w:r>
          </w:p>
        </w:tc>
        <w:tc>
          <w:tcPr>
            <w:tcW w:w="2017" w:type="dxa"/>
            <w:vAlign w:val="center"/>
          </w:tcPr>
          <w:p w14:paraId="23CA7D5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苏州市生态环境局、苏州工业园区生态环境局及其他行使相关行政处罚权的机构</w:t>
            </w:r>
          </w:p>
        </w:tc>
      </w:tr>
      <w:tr w14:paraId="276547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106" w:hRule="atLeast"/>
          <w:jc w:val="center"/>
        </w:trPr>
        <w:tc>
          <w:tcPr>
            <w:tcW w:w="432" w:type="dxa"/>
            <w:vAlign w:val="center"/>
          </w:tcPr>
          <w:p w14:paraId="152C94E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vAlign w:val="center"/>
          </w:tcPr>
          <w:p w14:paraId="3D553E9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未按照国家环境保护标准贮存工业固体废物</w:t>
            </w:r>
          </w:p>
        </w:tc>
        <w:tc>
          <w:tcPr>
            <w:tcW w:w="2693" w:type="dxa"/>
            <w:vAlign w:val="center"/>
          </w:tcPr>
          <w:p w14:paraId="3E4E17B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不规范贮存工业固体废物数量小于1吨（包括1吨），未发现污染后果，且违法行为在规定期限内改正完毕的</w:t>
            </w:r>
          </w:p>
        </w:tc>
        <w:tc>
          <w:tcPr>
            <w:tcW w:w="5812" w:type="dxa"/>
            <w:vAlign w:val="center"/>
          </w:tcPr>
          <w:p w14:paraId="7C67044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《中华人民共和国固体废物污染环境防治法》第一百零二条 违反本法规定，有下列行为之一，由生态环境主管部门责令改正，处以罚款，没收违法所得；情节严重的，报经有批准权的人民政府批准，可以责令停业或者关闭：（十）贮存工业固体废物未采取符合国家环境保护标准的防护措施的；</w:t>
            </w:r>
          </w:p>
          <w:p w14:paraId="11FAC3F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有前款第二项、第三项、第四项、第五项、第六项、第九项、第十项、第十一项行为之一，处十万元以上一百万元以下的罚款；</w:t>
            </w:r>
          </w:p>
        </w:tc>
        <w:tc>
          <w:tcPr>
            <w:tcW w:w="2017" w:type="dxa"/>
            <w:vAlign w:val="center"/>
          </w:tcPr>
          <w:p w14:paraId="599EA19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苏州市生态环境局、苏州工业园区生态环境局及其他行使相关行政处罚权的机构</w:t>
            </w:r>
          </w:p>
        </w:tc>
      </w:tr>
      <w:tr w14:paraId="3AD240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534" w:hRule="atLeast"/>
          <w:jc w:val="center"/>
        </w:trPr>
        <w:tc>
          <w:tcPr>
            <w:tcW w:w="432" w:type="dxa"/>
            <w:vAlign w:val="center"/>
          </w:tcPr>
          <w:p w14:paraId="6E088C6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10</w:t>
            </w:r>
          </w:p>
        </w:tc>
        <w:tc>
          <w:tcPr>
            <w:tcW w:w="3112" w:type="dxa"/>
            <w:vAlign w:val="center"/>
          </w:tcPr>
          <w:p w14:paraId="4F3E177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使用排放不合格的非道路移动机械</w:t>
            </w:r>
          </w:p>
        </w:tc>
        <w:tc>
          <w:tcPr>
            <w:tcW w:w="2693" w:type="dxa"/>
            <w:vAlign w:val="center"/>
          </w:tcPr>
          <w:p w14:paraId="6526D2E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排放不合格的非道路机械不超过2台，且烟度检出值不超过排放限值的20%，并在规定期限内整改的</w:t>
            </w:r>
          </w:p>
        </w:tc>
        <w:tc>
          <w:tcPr>
            <w:tcW w:w="5812" w:type="dxa"/>
            <w:vAlign w:val="center"/>
          </w:tcPr>
          <w:p w14:paraId="4878458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《中华人民共和国大气污染防治法》第一百一十四条  违反本法规定，使用排放不合格的非道路移动机械，或者在用重型柴油车、非道路移动机械未按照规定加装、更换污染控制装置的，由县级以上人民政府生态环境等主管部门按照职责责令改正，处五千元的罚款。</w:t>
            </w:r>
          </w:p>
        </w:tc>
        <w:tc>
          <w:tcPr>
            <w:tcW w:w="2017" w:type="dxa"/>
            <w:vAlign w:val="center"/>
          </w:tcPr>
          <w:p w14:paraId="7B4CCF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苏州市生态环境局、苏州工业园区生态环境局及其他行使相关行政处罚权的机构</w:t>
            </w:r>
          </w:p>
        </w:tc>
      </w:tr>
      <w:tr w14:paraId="5A78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1D53393C">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noWrap w:val="0"/>
            <w:vAlign w:val="center"/>
          </w:tcPr>
          <w:p w14:paraId="18F2038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建设单位未取得施工许可证或者开工报告未经批准擅自施工的</w:t>
            </w:r>
          </w:p>
        </w:tc>
        <w:tc>
          <w:tcPr>
            <w:tcW w:w="2693" w:type="dxa"/>
            <w:noWrap w:val="0"/>
            <w:vAlign w:val="center"/>
          </w:tcPr>
          <w:p w14:paraId="57DB3A1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1、建设工程（土木工程、建筑工程、线路管道、设备安装工程及装修工程）合同金额在200万元以下的。2、违法施工期间未发生质量安全事故的。3、从开工之日起20日内补办出施工许可证的。</w:t>
            </w:r>
          </w:p>
        </w:tc>
        <w:tc>
          <w:tcPr>
            <w:tcW w:w="5812" w:type="dxa"/>
            <w:noWrap w:val="0"/>
            <w:vAlign w:val="center"/>
          </w:tcPr>
          <w:p w14:paraId="7D64A50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《建设工程质量管理条例》第五十七条 违反本条例规定，建设单位未取得施工许可证或者开工报告未经批准，擅自施工的，责令停止施工，限期改正，处工程合同价款百分之一以上百分之二以下的罚款。</w:t>
            </w:r>
          </w:p>
          <w:p w14:paraId="09D8440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w:t>
            </w:r>
          </w:p>
        </w:tc>
        <w:tc>
          <w:tcPr>
            <w:tcW w:w="2017" w:type="dxa"/>
            <w:noWrap w:val="0"/>
            <w:vAlign w:val="center"/>
          </w:tcPr>
          <w:p w14:paraId="5623684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苏州市住房和城乡建设局、各县级市（区）住建局（委）及经依法授权行使该行政处罚事项的主体</w:t>
            </w:r>
          </w:p>
        </w:tc>
      </w:tr>
      <w:tr w14:paraId="44CC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036AC81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noWrap w:val="0"/>
            <w:vAlign w:val="center"/>
          </w:tcPr>
          <w:p w14:paraId="712828E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盗伐林木的行为</w:t>
            </w:r>
          </w:p>
        </w:tc>
        <w:tc>
          <w:tcPr>
            <w:tcW w:w="2693" w:type="dxa"/>
            <w:noWrap w:val="0"/>
            <w:vAlign w:val="center"/>
          </w:tcPr>
          <w:p w14:paraId="12D2A79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bookmarkStart w:id="0" w:name="OLE_LINK5"/>
            <w:r>
              <w:rPr>
                <w:rFonts w:hint="eastAsia" w:asciiTheme="minorEastAsia" w:hAnsiTheme="minorEastAsia" w:eastAsiaTheme="minorEastAsia" w:cstheme="minorEastAsia"/>
                <w:spacing w:val="-2"/>
                <w:kern w:val="0"/>
                <w:sz w:val="22"/>
                <w:szCs w:val="20"/>
                <w:lang w:val="en-US" w:eastAsia="zh-CN"/>
              </w:rPr>
              <w:t>初次违法且同时满足以下条件可依据《江苏省林业行政处罚裁量权基准》总则第九条第（二）项规定不予处罚：</w:t>
            </w:r>
            <w:bookmarkEnd w:id="0"/>
            <w:r>
              <w:rPr>
                <w:rFonts w:hint="eastAsia" w:asciiTheme="minorEastAsia" w:hAnsiTheme="minorEastAsia" w:eastAsiaTheme="minorEastAsia" w:cstheme="minorEastAsia"/>
                <w:spacing w:val="-2"/>
                <w:kern w:val="0"/>
                <w:sz w:val="22"/>
                <w:szCs w:val="20"/>
                <w:lang w:val="en-US" w:eastAsia="zh-CN"/>
              </w:rPr>
              <w:t>（1）当事人及时纠正，危害后果轻微的（立木蓄积0.5立方米以下、幼树20株以下或者价值2000元以下）；（2）在作出处罚决定前主动完成补种树木并符合补种条件的；（3）主动返还盗伐的林木或者变卖所得、赔偿被害人损失；（4）当事人经批评教育后，能充分认识到自己的错误，并承诺不再发生类似违法行为的。</w:t>
            </w:r>
          </w:p>
        </w:tc>
        <w:tc>
          <w:tcPr>
            <w:tcW w:w="5812" w:type="dxa"/>
            <w:noWrap w:val="0"/>
            <w:vAlign w:val="center"/>
          </w:tcPr>
          <w:p w14:paraId="4E87921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bookmarkStart w:id="1" w:name="OLE_LINK6"/>
            <w:r>
              <w:rPr>
                <w:rFonts w:hint="eastAsia" w:asciiTheme="minorEastAsia" w:hAnsiTheme="minorEastAsia" w:eastAsiaTheme="minorEastAsia" w:cstheme="minorEastAsia"/>
                <w:spacing w:val="-2"/>
                <w:kern w:val="0"/>
                <w:sz w:val="22"/>
                <w:szCs w:val="20"/>
                <w:lang w:val="en-US" w:eastAsia="zh-CN"/>
              </w:rPr>
              <w:t>《中华人民共和国森林法》第七十六条第一款：盗伐林木的，由县级以上人民政府林业主管部门责令限期在原地或异地补种盗伐株数一倍以上五倍以下的树木，并处盗伐林木价值五倍以上十倍以下的罚款。</w:t>
            </w:r>
            <w:bookmarkEnd w:id="1"/>
          </w:p>
        </w:tc>
        <w:tc>
          <w:tcPr>
            <w:tcW w:w="2017" w:type="dxa"/>
            <w:noWrap w:val="0"/>
            <w:vAlign w:val="center"/>
          </w:tcPr>
          <w:p w14:paraId="483655B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Hans"/>
              </w:rPr>
              <w:t>林业行政主管部门</w:t>
            </w:r>
          </w:p>
        </w:tc>
      </w:tr>
      <w:tr w14:paraId="53CE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1C39F111">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7D6FCAD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滥伐林木的行为</w:t>
            </w:r>
          </w:p>
        </w:tc>
        <w:tc>
          <w:tcPr>
            <w:tcW w:w="2693" w:type="dxa"/>
            <w:noWrap w:val="0"/>
            <w:vAlign w:val="center"/>
          </w:tcPr>
          <w:p w14:paraId="2A16737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bookmarkStart w:id="2" w:name="OLE_LINK8"/>
            <w:r>
              <w:rPr>
                <w:rFonts w:hint="eastAsia" w:asciiTheme="minorEastAsia" w:hAnsiTheme="minorEastAsia" w:eastAsiaTheme="minorEastAsia" w:cstheme="minorEastAsia"/>
                <w:spacing w:val="-2"/>
                <w:kern w:val="0"/>
                <w:sz w:val="22"/>
                <w:szCs w:val="20"/>
                <w:lang w:val="en-US" w:eastAsia="zh-CN"/>
              </w:rPr>
              <w:t>初次违法且同时满足以下条件可依据</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江苏省林业行政处罚裁量权基准</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总则第九条第（二）项规定不予处罚：</w:t>
            </w:r>
            <w:bookmarkEnd w:id="2"/>
            <w:r>
              <w:rPr>
                <w:rFonts w:hint="eastAsia" w:asciiTheme="minorEastAsia" w:hAnsiTheme="minorEastAsia" w:eastAsiaTheme="minorEastAsia" w:cstheme="minorEastAsia"/>
                <w:spacing w:val="-2"/>
                <w:kern w:val="0"/>
                <w:sz w:val="22"/>
                <w:szCs w:val="20"/>
                <w:lang w:val="en-US" w:eastAsia="zh-CN"/>
              </w:rPr>
              <w:t>（1）当事人及时纠正、危害后果轻微的（立木蓄积2立方米以下、幼树100株以下的或者价值5000元以下）；（2）在作出处罚决定前主动完成补种树木并符合补种条件的；（3）当事人经批评教育后，能充分认识到自己的错误，并承诺不再发生类似违法行为的。</w:t>
            </w:r>
          </w:p>
        </w:tc>
        <w:tc>
          <w:tcPr>
            <w:tcW w:w="5812" w:type="dxa"/>
            <w:noWrap w:val="0"/>
            <w:vAlign w:val="center"/>
          </w:tcPr>
          <w:p w14:paraId="625CD40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bookmarkStart w:id="3" w:name="OLE_LINK9"/>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中华人民共和国森林法</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第七十六条第二款：</w:t>
            </w:r>
            <w:bookmarkStart w:id="4" w:name="OLE_LINK7"/>
            <w:r>
              <w:rPr>
                <w:rFonts w:hint="eastAsia" w:asciiTheme="minorEastAsia" w:hAnsiTheme="minorEastAsia" w:eastAsiaTheme="minorEastAsia" w:cstheme="minorEastAsia"/>
                <w:spacing w:val="-2"/>
                <w:kern w:val="0"/>
                <w:sz w:val="22"/>
                <w:szCs w:val="20"/>
                <w:lang w:val="en-US" w:eastAsia="zh-CN"/>
              </w:rPr>
              <w:t>滥</w:t>
            </w:r>
            <w:bookmarkEnd w:id="4"/>
            <w:r>
              <w:rPr>
                <w:rFonts w:hint="eastAsia" w:asciiTheme="minorEastAsia" w:hAnsiTheme="minorEastAsia" w:eastAsiaTheme="minorEastAsia" w:cstheme="minorEastAsia"/>
                <w:spacing w:val="-2"/>
                <w:kern w:val="0"/>
                <w:sz w:val="22"/>
                <w:szCs w:val="20"/>
                <w:lang w:val="en-US" w:eastAsia="zh-CN"/>
              </w:rPr>
              <w:t>伐林木的，由县级以上人民政府林业主管部门责令限期在原地或异地补种滥伐株数一倍以上三倍以下的树木，并处滥伐林木价值三倍以上五倍以下的罚款。</w:t>
            </w:r>
            <w:bookmarkEnd w:id="3"/>
          </w:p>
        </w:tc>
        <w:tc>
          <w:tcPr>
            <w:tcW w:w="2017" w:type="dxa"/>
            <w:noWrap w:val="0"/>
            <w:vAlign w:val="center"/>
          </w:tcPr>
          <w:p w14:paraId="32D2F3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Hans"/>
              </w:rPr>
              <w:t>林业行政主管部门</w:t>
            </w:r>
          </w:p>
        </w:tc>
      </w:tr>
      <w:tr w14:paraId="0ED5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44ED358A">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2663E25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非法开垦、采石等活动造成林木毁坏的行为</w:t>
            </w:r>
          </w:p>
        </w:tc>
        <w:tc>
          <w:tcPr>
            <w:tcW w:w="2693" w:type="dxa"/>
            <w:noWrap w:val="0"/>
            <w:vAlign w:val="center"/>
          </w:tcPr>
          <w:p w14:paraId="716CF90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bookmarkStart w:id="5" w:name="OLE_LINK10"/>
            <w:r>
              <w:rPr>
                <w:rFonts w:hint="eastAsia" w:asciiTheme="minorEastAsia" w:hAnsiTheme="minorEastAsia" w:eastAsiaTheme="minorEastAsia" w:cstheme="minorEastAsia"/>
                <w:spacing w:val="-2"/>
                <w:kern w:val="0"/>
                <w:sz w:val="22"/>
                <w:szCs w:val="20"/>
                <w:lang w:val="en-US" w:eastAsia="zh-CN"/>
              </w:rPr>
              <w:t>初次违法且同时满足以下条件可依据《江苏省林业行政处罚裁量权基准》总则第九条第（二）项规定不予处罚：</w:t>
            </w:r>
            <w:bookmarkEnd w:id="5"/>
            <w:r>
              <w:rPr>
                <w:rFonts w:hint="eastAsia" w:asciiTheme="minorEastAsia" w:hAnsiTheme="minorEastAsia" w:eastAsiaTheme="minorEastAsia" w:cstheme="minorEastAsia"/>
                <w:spacing w:val="-2"/>
                <w:kern w:val="0"/>
                <w:sz w:val="22"/>
                <w:szCs w:val="20"/>
                <w:lang w:val="en-US" w:eastAsia="zh-CN"/>
              </w:rPr>
              <w:t>（1）当事人及时纠正、危害后果轻微的（立木蓄积2立方米以下、幼树100株以下或者价值500元以下）；（2）在作出处罚决定前主动完成恢复植被和林业生产条件、补种树木并符合条件的；（3）当事人经批评教育后，能充分认识到自己的错误，并承诺不再发生类似违法行为的。</w:t>
            </w:r>
          </w:p>
        </w:tc>
        <w:tc>
          <w:tcPr>
            <w:tcW w:w="5812" w:type="dxa"/>
            <w:noWrap w:val="0"/>
            <w:vAlign w:val="center"/>
          </w:tcPr>
          <w:p w14:paraId="396B6B0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bookmarkStart w:id="6" w:name="OLE_LINK11"/>
            <w:r>
              <w:rPr>
                <w:rFonts w:hint="eastAsia" w:asciiTheme="minorEastAsia" w:hAnsiTheme="minorEastAsia" w:eastAsiaTheme="minorEastAsia" w:cstheme="minorEastAsia"/>
                <w:spacing w:val="-2"/>
                <w:kern w:val="0"/>
                <w:sz w:val="22"/>
                <w:szCs w:val="20"/>
                <w:lang w:val="en-US" w:eastAsia="zh-CN"/>
              </w:rPr>
              <w:t>《中华人民共和国森林法》第七十四条第一款：</w:t>
            </w:r>
            <w:bookmarkEnd w:id="6"/>
            <w:r>
              <w:rPr>
                <w:rFonts w:hint="eastAsia" w:asciiTheme="minorEastAsia" w:hAnsiTheme="minorEastAsia" w:eastAsiaTheme="minorEastAsia" w:cstheme="minorEastAsia"/>
                <w:spacing w:val="-2"/>
                <w:kern w:val="0"/>
                <w:sz w:val="22"/>
                <w:szCs w:val="20"/>
                <w:lang w:val="en-US" w:eastAsia="zh-CN"/>
              </w:rPr>
              <w:t>违反本法规定，进行开垦、采石、采砂、采土或者其他活动，造成林木毁坏的，由县级以上人民政府林业主管部门责令停止违法行为，限期在原地或异地补种毁坏株数一倍以上三倍以下的树木，可以处毁坏林木价值五倍以下的罚款。</w:t>
            </w:r>
          </w:p>
        </w:tc>
        <w:tc>
          <w:tcPr>
            <w:tcW w:w="2017" w:type="dxa"/>
            <w:noWrap w:val="0"/>
            <w:vAlign w:val="center"/>
          </w:tcPr>
          <w:p w14:paraId="541233A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Hans"/>
              </w:rPr>
              <w:t>林业行政主管部门</w:t>
            </w:r>
          </w:p>
        </w:tc>
      </w:tr>
      <w:tr w14:paraId="17792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4FFDC341">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69AD7D4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擅自改变林地用途或毁林</w:t>
            </w:r>
            <w:bookmarkStart w:id="7" w:name="OLE_LINK3"/>
            <w:r>
              <w:rPr>
                <w:rFonts w:hint="eastAsia" w:asciiTheme="minorEastAsia" w:hAnsiTheme="minorEastAsia" w:eastAsiaTheme="minorEastAsia" w:cstheme="minorEastAsia"/>
                <w:spacing w:val="-2"/>
                <w:kern w:val="0"/>
                <w:sz w:val="22"/>
                <w:szCs w:val="20"/>
                <w:lang w:val="en-US" w:eastAsia="zh-CN"/>
              </w:rPr>
              <w:t>的行为</w:t>
            </w:r>
            <w:bookmarkEnd w:id="7"/>
          </w:p>
        </w:tc>
        <w:tc>
          <w:tcPr>
            <w:tcW w:w="2693" w:type="dxa"/>
            <w:noWrap w:val="0"/>
            <w:vAlign w:val="center"/>
          </w:tcPr>
          <w:p w14:paraId="2A85833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法且同时满足以下条件可依据《江苏省林业行政处罚裁量权基准》总则第九条第（二）项规定不予处罚：（1）当事人及时纠正、危害后果轻微的（商品林1亩以下）；（2）在作出处罚决定前主动完成恢复植被和林业生产条件、补种树木并符合条件的；（3）当事人经批评教育后，能充分认识到自己的错误，并承诺不再发生类似违法行为的。</w:t>
            </w:r>
          </w:p>
        </w:tc>
        <w:tc>
          <w:tcPr>
            <w:tcW w:w="5812" w:type="dxa"/>
            <w:noWrap w:val="0"/>
            <w:vAlign w:val="center"/>
          </w:tcPr>
          <w:p w14:paraId="7364883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《中华人民共和国森林法》第七十三条第一款：　违反本法规定，未经县级以上人民政府林业主管部门审核同意，擅自改变林地用途的，由县级以上人民政府林业主管部门责令限期恢复植被和林业生产条件，可以处恢复植被和林业生产条件所需费用三倍以下的罚款；第七十四条第一款：违反本法规定，进行开垦、采石、采砂、采土或者其他活动，……造成林地毁坏的，由县级以上人民政府林业主管部门责令停止违法行为，限期恢复植被和林业生产条件，可以处恢复植被和林业生产条件所需费用三倍以下的罚款。</w:t>
            </w:r>
          </w:p>
        </w:tc>
        <w:tc>
          <w:tcPr>
            <w:tcW w:w="2017" w:type="dxa"/>
            <w:noWrap w:val="0"/>
            <w:vAlign w:val="center"/>
          </w:tcPr>
          <w:p w14:paraId="607A776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Hans"/>
              </w:rPr>
              <w:t>林业行政主管部门</w:t>
            </w:r>
          </w:p>
        </w:tc>
      </w:tr>
      <w:tr w14:paraId="06E0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8" w:hRule="atLeast"/>
          <w:jc w:val="center"/>
        </w:trPr>
        <w:tc>
          <w:tcPr>
            <w:tcW w:w="432" w:type="dxa"/>
            <w:noWrap w:val="0"/>
            <w:vAlign w:val="center"/>
          </w:tcPr>
          <w:p w14:paraId="5BE355B0">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noWrap w:val="0"/>
            <w:vAlign w:val="center"/>
          </w:tcPr>
          <w:p w14:paraId="4B46BEB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非法猎捕有重要生态、科学、社会价值的陆生野生动物或者地方重点保护野生动物的行为</w:t>
            </w:r>
          </w:p>
        </w:tc>
        <w:tc>
          <w:tcPr>
            <w:tcW w:w="2693" w:type="dxa"/>
            <w:noWrap w:val="0"/>
            <w:vAlign w:val="center"/>
          </w:tcPr>
          <w:p w14:paraId="2E709A3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bookmarkStart w:id="8" w:name="OLE_LINK4"/>
            <w:r>
              <w:rPr>
                <w:rFonts w:hint="eastAsia" w:asciiTheme="minorEastAsia" w:hAnsiTheme="minorEastAsia" w:eastAsiaTheme="minorEastAsia" w:cstheme="minorEastAsia"/>
                <w:spacing w:val="-2"/>
                <w:kern w:val="0"/>
                <w:sz w:val="22"/>
                <w:szCs w:val="20"/>
                <w:lang w:val="en-US" w:eastAsia="zh-CN"/>
              </w:rPr>
              <w:t>初次违法且同时满足以下条件可依据《江苏省林业行政处罚裁量权基准》总则第九条第（二）项规定不予处罚：</w:t>
            </w:r>
            <w:bookmarkEnd w:id="8"/>
            <w:r>
              <w:rPr>
                <w:rFonts w:hint="eastAsia" w:asciiTheme="minorEastAsia" w:hAnsiTheme="minorEastAsia" w:eastAsiaTheme="minorEastAsia" w:cstheme="minorEastAsia"/>
                <w:spacing w:val="-2"/>
                <w:kern w:val="0"/>
                <w:sz w:val="22"/>
                <w:szCs w:val="20"/>
                <w:lang w:val="en-US" w:eastAsia="zh-CN"/>
              </w:rPr>
              <w:t>（1）当事人及时纠正、危害后果轻微的（野生动物未死亡且猎获物评估价值1600元以下）；（2）在作出处罚决定前主动将野生动物送交野生动物保护主管部门收容救护的；（3）当事人经批评教育后，能充分认识到自己的错误，并承诺不再发生类似违法行为的。</w:t>
            </w:r>
          </w:p>
        </w:tc>
        <w:tc>
          <w:tcPr>
            <w:tcW w:w="5812" w:type="dxa"/>
            <w:noWrap w:val="0"/>
            <w:vAlign w:val="center"/>
          </w:tcPr>
          <w:p w14:paraId="0C1D503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野生动物保护法》第四十九条第一款：违反本法第二十条、第二十二条、第二十三条第一款、第二十四条第一款规定，有下列行为之一的，由县级以上地方人民政府野生动物保护主管部门和有关自然保护地管理机构按照职责分工没收猎获物、猎捕工具和违法所得，吊销狩猎证，并处猎获物价值一倍以上十倍以下罚款；没有猎获物或者猎获物价值不足二千元的，并处二千元以上二万元以下罚款；构成犯罪的，依法追究刑事责任：（一）在自然保护地、禁猎（渔）区、禁猎（渔）期猎捕有重要生态、科学、社会价值的陆生野生动物或者地方重点保护野生动物；（二）未取得狩猎证、未按照狩猎证规定猎捕有重要生态、科学、社会价值的陆生野生动物或者地方重点保护野生动物；（三）使用禁用的工具、方法猎捕有重要生态、科学、社会价值的陆生野生动物或者地方重点保护野生动物。</w:t>
            </w:r>
          </w:p>
        </w:tc>
        <w:tc>
          <w:tcPr>
            <w:tcW w:w="2017" w:type="dxa"/>
            <w:noWrap w:val="0"/>
            <w:vAlign w:val="center"/>
          </w:tcPr>
          <w:p w14:paraId="733546A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Hans"/>
              </w:rPr>
              <w:t>林业行政主管部门</w:t>
            </w:r>
          </w:p>
        </w:tc>
      </w:tr>
      <w:tr w14:paraId="4512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9" w:hRule="atLeast"/>
          <w:jc w:val="center"/>
        </w:trPr>
        <w:tc>
          <w:tcPr>
            <w:tcW w:w="432" w:type="dxa"/>
            <w:noWrap w:val="0"/>
            <w:vAlign w:val="center"/>
          </w:tcPr>
          <w:p w14:paraId="7221B93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noWrap w:val="0"/>
            <w:vAlign w:val="center"/>
          </w:tcPr>
          <w:p w14:paraId="2142110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非法出售、利用、运输、携带、寄递有重要生态、科学、社会价值的陆生野生动物、地方重点保护野生动物的行为</w:t>
            </w:r>
          </w:p>
        </w:tc>
        <w:tc>
          <w:tcPr>
            <w:tcW w:w="2693" w:type="dxa"/>
            <w:noWrap w:val="0"/>
            <w:vAlign w:val="center"/>
          </w:tcPr>
          <w:p w14:paraId="246DC9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法且同时满足以下条件可依据《江苏省林业行政处罚裁量权基准》总则第九条第（二）项规定不予处罚：（1）当事人及时纠正、危害后果轻微的（野生动物未死亡且涉案动物价值1600元以下的）；（2）在作出处罚决定前主动将野生动物送交野生动物保护主管部门收容救护的；（3）当事人经批评教育后，能充分认识到自己的错误，并承诺不再发生类似违法行为的。</w:t>
            </w:r>
          </w:p>
        </w:tc>
        <w:tc>
          <w:tcPr>
            <w:tcW w:w="5812" w:type="dxa"/>
            <w:noWrap w:val="0"/>
            <w:vAlign w:val="center"/>
          </w:tcPr>
          <w:p w14:paraId="3B9D83A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野生动物保护法》第五十二条第二款：违反本法第二十八条第三款、第二十九条第一款、第三十四条第二款规定，未持有合法来源证明或者专用标识出售、利用、运输、携带、寄递有重要生态、科学、社会价值的陆生野生动物、地方重点保护野生动物或者依照本法第二十九条第二款规定调出有重要生态、科学、社会价值的陆生野生动物名录的野生动物及其制品的，由县级以上地方人民政府野生动物保护主管部门和市场监督管理部门按照职责分工没收野生动物，并处野生动物价值一倍以上十倍以下罚款；构成犯罪的，依法追究刑事责任。</w:t>
            </w:r>
          </w:p>
        </w:tc>
        <w:tc>
          <w:tcPr>
            <w:tcW w:w="2017" w:type="dxa"/>
            <w:noWrap w:val="0"/>
            <w:vAlign w:val="center"/>
          </w:tcPr>
          <w:p w14:paraId="0B208AF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Hans"/>
              </w:rPr>
              <w:t>林业行政主管部门</w:t>
            </w:r>
          </w:p>
        </w:tc>
      </w:tr>
      <w:tr w14:paraId="1439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08300F1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noWrap w:val="0"/>
            <w:vAlign w:val="center"/>
          </w:tcPr>
          <w:p w14:paraId="5B7DC08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Hans"/>
              </w:rPr>
              <w:t>非法猎捕、杀害苏州市人民政府禁止猎捕的陆生野生动物的行为</w:t>
            </w:r>
          </w:p>
        </w:tc>
        <w:tc>
          <w:tcPr>
            <w:tcW w:w="2693" w:type="dxa"/>
            <w:noWrap w:val="0"/>
            <w:vAlign w:val="center"/>
          </w:tcPr>
          <w:p w14:paraId="03AF11B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bookmarkStart w:id="9" w:name="OLE_LINK2"/>
            <w:r>
              <w:rPr>
                <w:rFonts w:hint="eastAsia" w:asciiTheme="minorEastAsia" w:hAnsiTheme="minorEastAsia" w:eastAsiaTheme="minorEastAsia" w:cstheme="minorEastAsia"/>
                <w:spacing w:val="-2"/>
                <w:kern w:val="0"/>
                <w:sz w:val="22"/>
                <w:szCs w:val="20"/>
                <w:lang w:val="en-US" w:eastAsia="zh-CN"/>
              </w:rPr>
              <w:t>初次违法且同时满足以下条件可依据《苏州市园林绿化和林业系统行政处罚裁量细则》规定不予处罚：</w:t>
            </w:r>
            <w:bookmarkEnd w:id="9"/>
            <w:r>
              <w:rPr>
                <w:rFonts w:hint="eastAsia" w:asciiTheme="minorEastAsia" w:hAnsiTheme="minorEastAsia" w:eastAsiaTheme="minorEastAsia" w:cstheme="minorEastAsia"/>
                <w:spacing w:val="-2"/>
                <w:kern w:val="0"/>
                <w:sz w:val="22"/>
                <w:szCs w:val="20"/>
                <w:lang w:val="en-US" w:eastAsia="zh-CN"/>
              </w:rPr>
              <w:t>（1）当事人及时纠正、危害后果轻微的（猎获物评估价值1600元以下）；（2）在作出处罚决定前主动将野生动物送交野生动物保护主管部门收容救护的；（3）当事人经批评教育后，能充分认识到自己的错误，并承诺不再发生类似违法行为的。</w:t>
            </w:r>
          </w:p>
          <w:p w14:paraId="49250CB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5812" w:type="dxa"/>
            <w:noWrap w:val="0"/>
            <w:vAlign w:val="center"/>
          </w:tcPr>
          <w:p w14:paraId="24FE0BC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r>
              <w:rPr>
                <w:rFonts w:hint="eastAsia" w:asciiTheme="minorEastAsia" w:hAnsiTheme="minorEastAsia" w:eastAsiaTheme="minorEastAsia" w:cstheme="minorEastAsia"/>
                <w:spacing w:val="-2"/>
                <w:kern w:val="0"/>
                <w:sz w:val="22"/>
                <w:szCs w:val="20"/>
                <w:lang w:val="en-US" w:eastAsia="zh-Hans"/>
              </w:rPr>
              <w:t>《苏州市禁止猎捕陆生野生动物条例》</w:t>
            </w:r>
            <w:r>
              <w:rPr>
                <w:rFonts w:hint="eastAsia" w:asciiTheme="minorEastAsia" w:hAnsiTheme="minorEastAsia" w:eastAsiaTheme="minorEastAsia" w:cstheme="minorEastAsia"/>
                <w:spacing w:val="-2"/>
                <w:kern w:val="0"/>
                <w:sz w:val="22"/>
                <w:szCs w:val="20"/>
                <w:lang w:val="en-US" w:eastAsia="zh-CN"/>
              </w:rPr>
              <w:t>第八条：</w:t>
            </w:r>
            <w:r>
              <w:rPr>
                <w:rFonts w:hint="eastAsia" w:asciiTheme="minorEastAsia" w:hAnsiTheme="minorEastAsia" w:eastAsiaTheme="minorEastAsia" w:cstheme="minorEastAsia"/>
                <w:spacing w:val="-2"/>
                <w:kern w:val="0"/>
                <w:sz w:val="22"/>
                <w:szCs w:val="20"/>
                <w:lang w:val="en-US" w:eastAsia="zh-Hans"/>
              </w:rPr>
              <w:t xml:space="preserve">在本市行政区域内，禁止非法猎捕下列陆生野生动物：（一）国家重点保护的陆生野生动物；（二）江苏省重点保护的陆生野生动物；（三）苏州市重点保护的陆生野生动物，具体名录由市人民政府公布；（四）国务院野生动物保护主管部门公布的有重要生态、科学、社会价值的陆生野生动物。 因情况变化，对本市重点保护的陆生野生动物名录需要调整的，由市人民政府决定，并报市人民代表大会常务委员会备案。调整后的名录应当重新公布。 因科学研究、种群调控、人工繁育、疫源疫病监测、展览或者其他特殊情况等以非食用为目的，需要猎捕本条第一款规定的陆生野生动物的，应当按照法律、法规的规定申请特许猎捕证或者狩猎证。 </w:t>
            </w:r>
          </w:p>
          <w:p w14:paraId="2488EFD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Hans"/>
              </w:rPr>
              <w:t>第十一条 违反本条例第八条第一款第三项规定，非法猎捕、杀害苏州市重点保护的陆生野生动物的，由林业行政主管部门没收猎获物、猎捕工具和违法所得，并处猎获物价值三倍以上十倍以下的罚款；没有猎获物的，并处一万元以上五万元以下的罚款；构成犯罪的，依法追究刑事责任。</w:t>
            </w:r>
          </w:p>
        </w:tc>
        <w:tc>
          <w:tcPr>
            <w:tcW w:w="2017" w:type="dxa"/>
            <w:noWrap w:val="0"/>
            <w:vAlign w:val="center"/>
          </w:tcPr>
          <w:p w14:paraId="3F57BA9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bookmarkStart w:id="10" w:name="OLE_LINK1"/>
            <w:r>
              <w:rPr>
                <w:rFonts w:hint="eastAsia" w:asciiTheme="minorEastAsia" w:hAnsiTheme="minorEastAsia" w:eastAsiaTheme="minorEastAsia" w:cstheme="minorEastAsia"/>
                <w:spacing w:val="-2"/>
                <w:kern w:val="0"/>
                <w:sz w:val="22"/>
                <w:szCs w:val="20"/>
                <w:lang w:val="en-US" w:eastAsia="zh-Hans"/>
              </w:rPr>
              <w:t>林业行政主管部门</w:t>
            </w:r>
            <w:bookmarkEnd w:id="10"/>
          </w:p>
        </w:tc>
      </w:tr>
      <w:tr w14:paraId="0D1E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38AF415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shd w:val="clear" w:color="auto" w:fill="auto"/>
            <w:noWrap w:val="0"/>
            <w:vAlign w:val="center"/>
          </w:tcPr>
          <w:p w14:paraId="78B363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r>
              <w:rPr>
                <w:rFonts w:hint="eastAsia" w:asciiTheme="minorEastAsia" w:hAnsiTheme="minorEastAsia" w:eastAsiaTheme="minorEastAsia" w:cstheme="minorEastAsia"/>
                <w:spacing w:val="-2"/>
                <w:kern w:val="0"/>
                <w:sz w:val="22"/>
                <w:szCs w:val="20"/>
                <w:lang w:val="en-US" w:eastAsia="zh-CN"/>
              </w:rPr>
              <w:t>对损坏城市树木花草行为的处罚</w:t>
            </w:r>
          </w:p>
        </w:tc>
        <w:tc>
          <w:tcPr>
            <w:tcW w:w="2693" w:type="dxa"/>
            <w:shd w:val="clear" w:color="auto" w:fill="auto"/>
            <w:noWrap w:val="0"/>
            <w:vAlign w:val="center"/>
          </w:tcPr>
          <w:p w14:paraId="3784F72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法，且同时满足以下条件：（1）当事人及时纠正、危害后果轻微的（损失估价值1000元以下）；（2）在作出处罚决定前主动赔偿损失或完成整改恢复的；（3）当事人经批评教育后，能充分认识到自己的错误，并承诺不再发生类似违法行为的。</w:t>
            </w:r>
          </w:p>
        </w:tc>
        <w:tc>
          <w:tcPr>
            <w:tcW w:w="5812" w:type="dxa"/>
            <w:shd w:val="clear" w:color="auto" w:fill="auto"/>
            <w:noWrap w:val="0"/>
            <w:vAlign w:val="bottom"/>
          </w:tcPr>
          <w:p w14:paraId="13774C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p>
          <w:p w14:paraId="2FB307A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p>
          <w:p w14:paraId="7738EA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p>
          <w:p w14:paraId="4F77A30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r>
              <w:rPr>
                <w:rFonts w:hint="eastAsia" w:asciiTheme="minorEastAsia" w:hAnsiTheme="minorEastAsia" w:eastAsiaTheme="minorEastAsia" w:cstheme="minorEastAsia"/>
                <w:spacing w:val="-2"/>
                <w:kern w:val="0"/>
                <w:sz w:val="22"/>
                <w:szCs w:val="20"/>
                <w:lang w:val="en-US" w:eastAsia="zh-Hans"/>
              </w:rPr>
              <w:t>【行政法规】《城市绿化条例》（国务院令1992年第100号，2011年修订，2017年国务院令第676号修改）</w:t>
            </w:r>
            <w:r>
              <w:rPr>
                <w:rFonts w:hint="eastAsia" w:asciiTheme="minorEastAsia" w:hAnsiTheme="minorEastAsia" w:eastAsiaTheme="minorEastAsia" w:cstheme="minorEastAsia"/>
                <w:spacing w:val="-2"/>
                <w:kern w:val="0"/>
                <w:sz w:val="22"/>
                <w:szCs w:val="20"/>
                <w:lang w:val="en-US" w:eastAsia="zh-Hans"/>
              </w:rPr>
              <w:br w:type="textWrapping"/>
            </w:r>
            <w:r>
              <w:rPr>
                <w:rFonts w:hint="eastAsia" w:asciiTheme="minorEastAsia" w:hAnsiTheme="minorEastAsia" w:eastAsiaTheme="minorEastAsia" w:cstheme="minorEastAsia"/>
                <w:spacing w:val="-2"/>
                <w:kern w:val="0"/>
                <w:sz w:val="22"/>
                <w:szCs w:val="20"/>
                <w:lang w:val="en-US" w:eastAsia="zh-Hans"/>
              </w:rPr>
              <w:t>第二十六条　违反本条例规定，有下列行为之一的，由城市人民政府城市绿化行政主管部门或者其授权的单位责令停止侵害，可以并处罚款；</w:t>
            </w:r>
          </w:p>
          <w:p w14:paraId="736460D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r>
              <w:rPr>
                <w:rFonts w:hint="eastAsia" w:asciiTheme="minorEastAsia" w:hAnsiTheme="minorEastAsia" w:eastAsiaTheme="minorEastAsia" w:cstheme="minorEastAsia"/>
                <w:spacing w:val="-2"/>
                <w:kern w:val="0"/>
                <w:sz w:val="22"/>
                <w:szCs w:val="20"/>
                <w:lang w:val="en-US" w:eastAsia="zh-Hans"/>
              </w:rPr>
              <w:t>造成损失的，应当负赔偿责任；应当给予治安管理处罚的，依照《治安管理处罚法》的有关规定处罚；构成犯罪的，依法追究刑事责任：</w:t>
            </w:r>
            <w:r>
              <w:rPr>
                <w:rFonts w:hint="eastAsia" w:asciiTheme="minorEastAsia" w:hAnsiTheme="minorEastAsia" w:eastAsiaTheme="minorEastAsia" w:cstheme="minorEastAsia"/>
                <w:spacing w:val="-2"/>
                <w:kern w:val="0"/>
                <w:sz w:val="22"/>
                <w:szCs w:val="20"/>
                <w:lang w:val="en-US" w:eastAsia="zh-Hans"/>
              </w:rPr>
              <w:br w:type="textWrapping"/>
            </w:r>
            <w:r>
              <w:rPr>
                <w:rFonts w:hint="eastAsia" w:asciiTheme="minorEastAsia" w:hAnsiTheme="minorEastAsia" w:eastAsiaTheme="minorEastAsia" w:cstheme="minorEastAsia"/>
                <w:spacing w:val="-2"/>
                <w:kern w:val="0"/>
                <w:sz w:val="22"/>
                <w:szCs w:val="20"/>
                <w:lang w:val="en-US" w:eastAsia="zh-Hans"/>
              </w:rPr>
              <w:t>（一）损坏城市树木花草的；</w:t>
            </w:r>
            <w:r>
              <w:rPr>
                <w:rFonts w:hint="eastAsia" w:asciiTheme="minorEastAsia" w:hAnsiTheme="minorEastAsia" w:eastAsiaTheme="minorEastAsia" w:cstheme="minorEastAsia"/>
                <w:spacing w:val="-2"/>
                <w:kern w:val="0"/>
                <w:sz w:val="22"/>
                <w:szCs w:val="20"/>
                <w:lang w:val="en-US" w:eastAsia="zh-Hans"/>
              </w:rPr>
              <w:br w:type="textWrapping"/>
            </w:r>
            <w:r>
              <w:rPr>
                <w:rFonts w:hint="eastAsia" w:asciiTheme="minorEastAsia" w:hAnsiTheme="minorEastAsia" w:eastAsiaTheme="minorEastAsia" w:cstheme="minorEastAsia"/>
                <w:spacing w:val="-2"/>
                <w:kern w:val="0"/>
                <w:sz w:val="22"/>
                <w:szCs w:val="20"/>
                <w:lang w:val="en-US" w:eastAsia="zh-Hans"/>
              </w:rPr>
              <w:t>【地方性法规】《江苏省城市绿化管理条例》</w:t>
            </w:r>
            <w:r>
              <w:rPr>
                <w:rFonts w:hint="eastAsia" w:asciiTheme="minorEastAsia" w:hAnsiTheme="minorEastAsia" w:eastAsiaTheme="minorEastAsia" w:cstheme="minorEastAsia"/>
                <w:spacing w:val="-2"/>
                <w:kern w:val="0"/>
                <w:sz w:val="22"/>
                <w:szCs w:val="20"/>
                <w:lang w:val="en-US" w:eastAsia="zh-Hans"/>
              </w:rPr>
              <w:br w:type="textWrapping"/>
            </w:r>
            <w:r>
              <w:rPr>
                <w:rFonts w:hint="eastAsia" w:asciiTheme="minorEastAsia" w:hAnsiTheme="minorEastAsia" w:eastAsiaTheme="minorEastAsia" w:cstheme="minorEastAsia"/>
                <w:spacing w:val="-2"/>
                <w:kern w:val="0"/>
                <w:sz w:val="22"/>
                <w:szCs w:val="20"/>
                <w:lang w:val="en-US" w:eastAsia="zh-Hans"/>
              </w:rPr>
              <w:t>第二十三条  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r>
              <w:rPr>
                <w:rFonts w:hint="eastAsia" w:asciiTheme="minorEastAsia" w:hAnsiTheme="minorEastAsia" w:eastAsiaTheme="minorEastAsia" w:cstheme="minorEastAsia"/>
                <w:spacing w:val="-2"/>
                <w:kern w:val="0"/>
                <w:sz w:val="22"/>
                <w:szCs w:val="20"/>
                <w:lang w:val="en-US" w:eastAsia="zh-Hans"/>
              </w:rPr>
              <w:br w:type="textWrapping"/>
            </w:r>
            <w:r>
              <w:rPr>
                <w:rFonts w:hint="eastAsia" w:asciiTheme="minorEastAsia" w:hAnsiTheme="minorEastAsia" w:eastAsiaTheme="minorEastAsia" w:cstheme="minorEastAsia"/>
                <w:spacing w:val="-2"/>
                <w:kern w:val="0"/>
                <w:sz w:val="22"/>
                <w:szCs w:val="20"/>
                <w:lang w:val="en-US" w:eastAsia="zh-Hans"/>
              </w:rPr>
              <w:t>（一）损坏城市树木花草的；</w:t>
            </w:r>
          </w:p>
          <w:p w14:paraId="2B21B9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p>
        </w:tc>
        <w:tc>
          <w:tcPr>
            <w:tcW w:w="2017" w:type="dxa"/>
            <w:shd w:val="clear" w:color="auto" w:fill="auto"/>
            <w:noWrap w:val="0"/>
            <w:vAlign w:val="center"/>
          </w:tcPr>
          <w:p w14:paraId="2E50DF4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r>
              <w:rPr>
                <w:rFonts w:hint="eastAsia" w:asciiTheme="minorEastAsia" w:hAnsiTheme="minorEastAsia" w:eastAsiaTheme="minorEastAsia" w:cstheme="minorEastAsia"/>
                <w:spacing w:val="-2"/>
                <w:kern w:val="0"/>
                <w:sz w:val="22"/>
                <w:szCs w:val="20"/>
                <w:lang w:val="en-US" w:eastAsia="zh-CN"/>
              </w:rPr>
              <w:t>城市绿化行政主管部门及城管执法部门</w:t>
            </w:r>
          </w:p>
        </w:tc>
      </w:tr>
      <w:tr w14:paraId="590E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728C5E28">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shd w:val="clear" w:color="auto" w:fill="auto"/>
            <w:noWrap w:val="0"/>
            <w:vAlign w:val="center"/>
          </w:tcPr>
          <w:p w14:paraId="7411179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对损坏城市绿化设施行为的处罚</w:t>
            </w:r>
          </w:p>
        </w:tc>
        <w:tc>
          <w:tcPr>
            <w:tcW w:w="2693" w:type="dxa"/>
            <w:shd w:val="clear" w:color="auto" w:fill="auto"/>
            <w:noWrap w:val="0"/>
            <w:vAlign w:val="center"/>
          </w:tcPr>
          <w:p w14:paraId="32D89BE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法，且同时满足以下条件：（1）当事人及时纠正、危害后果轻微的（损失估价值1000元以下）；（2）在作出处罚决定前主动赔偿损失或完成整改恢复的；（3）当事人经批评教育后，能充分认识到自己的错误，并承诺不再发生类似违法行为的。</w:t>
            </w:r>
          </w:p>
        </w:tc>
        <w:tc>
          <w:tcPr>
            <w:tcW w:w="5812" w:type="dxa"/>
            <w:shd w:val="clear" w:color="auto" w:fill="auto"/>
            <w:noWrap w:val="0"/>
            <w:vAlign w:val="center"/>
          </w:tcPr>
          <w:p w14:paraId="5CCCB2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r>
              <w:rPr>
                <w:rFonts w:hint="default" w:asciiTheme="minorEastAsia" w:hAnsiTheme="minorEastAsia" w:eastAsiaTheme="minorEastAsia" w:cstheme="minorEastAsia"/>
                <w:spacing w:val="-2"/>
                <w:kern w:val="0"/>
                <w:sz w:val="22"/>
                <w:szCs w:val="20"/>
                <w:lang w:val="en-US" w:eastAsia="zh-CN"/>
              </w:rPr>
              <w:t>【行政法规】《城市绿化条例》（国务院令1992年第100号，第676号修订）</w:t>
            </w:r>
            <w:r>
              <w:rPr>
                <w:rFonts w:hint="default" w:asciiTheme="minorEastAsia" w:hAnsiTheme="minorEastAsia" w:eastAsiaTheme="minorEastAsia" w:cstheme="minorEastAsia"/>
                <w:spacing w:val="-2"/>
                <w:kern w:val="0"/>
                <w:sz w:val="22"/>
                <w:szCs w:val="20"/>
                <w:lang w:val="en-US" w:eastAsia="zh-CN"/>
              </w:rPr>
              <w:br w:type="textWrapping"/>
            </w:r>
            <w:r>
              <w:rPr>
                <w:rFonts w:hint="default" w:asciiTheme="minorEastAsia" w:hAnsiTheme="minorEastAsia" w:eastAsiaTheme="minorEastAsia" w:cstheme="minorEastAsia"/>
                <w:spacing w:val="-2"/>
                <w:kern w:val="0"/>
                <w:sz w:val="22"/>
                <w:szCs w:val="20"/>
                <w:lang w:val="en-US" w:eastAsia="zh-CN"/>
              </w:rPr>
              <w:t>第二十六条  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r>
              <w:rPr>
                <w:rFonts w:hint="default" w:asciiTheme="minorEastAsia" w:hAnsiTheme="minorEastAsia" w:eastAsiaTheme="minorEastAsia" w:cstheme="minorEastAsia"/>
                <w:spacing w:val="-2"/>
                <w:kern w:val="0"/>
                <w:sz w:val="22"/>
                <w:szCs w:val="20"/>
                <w:lang w:val="en-US" w:eastAsia="zh-CN"/>
              </w:rPr>
              <w:br w:type="textWrapping"/>
            </w:r>
            <w:r>
              <w:rPr>
                <w:rFonts w:hint="default" w:asciiTheme="minorEastAsia" w:hAnsiTheme="minorEastAsia" w:eastAsiaTheme="minorEastAsia" w:cstheme="minorEastAsia"/>
                <w:spacing w:val="-2"/>
                <w:kern w:val="0"/>
                <w:sz w:val="22"/>
                <w:szCs w:val="20"/>
                <w:lang w:val="en-US" w:eastAsia="zh-CN"/>
              </w:rPr>
              <w:t>（四）损坏城市绿化设施的。</w:t>
            </w:r>
            <w:r>
              <w:rPr>
                <w:rFonts w:hint="default" w:asciiTheme="minorEastAsia" w:hAnsiTheme="minorEastAsia" w:eastAsiaTheme="minorEastAsia" w:cstheme="minorEastAsia"/>
                <w:spacing w:val="-2"/>
                <w:kern w:val="0"/>
                <w:sz w:val="22"/>
                <w:szCs w:val="20"/>
                <w:lang w:val="en-US" w:eastAsia="zh-CN"/>
              </w:rPr>
              <w:br w:type="textWrapping"/>
            </w:r>
            <w:r>
              <w:rPr>
                <w:rFonts w:hint="default" w:asciiTheme="minorEastAsia" w:hAnsiTheme="minorEastAsia" w:eastAsiaTheme="minorEastAsia" w:cstheme="minorEastAsia"/>
                <w:spacing w:val="-2"/>
                <w:kern w:val="0"/>
                <w:sz w:val="22"/>
                <w:szCs w:val="20"/>
                <w:lang w:val="en-US" w:eastAsia="zh-CN"/>
              </w:rPr>
              <w:t>【地方性法规】《江苏省城市绿化管理条例》</w:t>
            </w:r>
            <w:r>
              <w:rPr>
                <w:rFonts w:hint="default" w:asciiTheme="minorEastAsia" w:hAnsiTheme="minorEastAsia" w:eastAsiaTheme="minorEastAsia" w:cstheme="minorEastAsia"/>
                <w:spacing w:val="-2"/>
                <w:kern w:val="0"/>
                <w:sz w:val="22"/>
                <w:szCs w:val="20"/>
                <w:lang w:val="en-US" w:eastAsia="zh-CN"/>
              </w:rPr>
              <w:br w:type="textWrapping"/>
            </w:r>
            <w:r>
              <w:rPr>
                <w:rFonts w:hint="default" w:asciiTheme="minorEastAsia" w:hAnsiTheme="minorEastAsia" w:eastAsiaTheme="minorEastAsia" w:cstheme="minorEastAsia"/>
                <w:spacing w:val="-2"/>
                <w:kern w:val="0"/>
                <w:sz w:val="22"/>
                <w:szCs w:val="20"/>
                <w:lang w:val="en-US" w:eastAsia="zh-CN"/>
              </w:rPr>
              <w:t>第二十三条  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r>
              <w:rPr>
                <w:rFonts w:hint="default" w:asciiTheme="minorEastAsia" w:hAnsiTheme="minorEastAsia" w:eastAsiaTheme="minorEastAsia" w:cstheme="minorEastAsia"/>
                <w:spacing w:val="-2"/>
                <w:kern w:val="0"/>
                <w:sz w:val="22"/>
                <w:szCs w:val="20"/>
                <w:lang w:val="en-US" w:eastAsia="zh-CN"/>
              </w:rPr>
              <w:br w:type="textWrapping"/>
            </w:r>
            <w:r>
              <w:rPr>
                <w:rFonts w:hint="default" w:asciiTheme="minorEastAsia" w:hAnsiTheme="minorEastAsia" w:eastAsiaTheme="minorEastAsia" w:cstheme="minorEastAsia"/>
                <w:spacing w:val="-2"/>
                <w:kern w:val="0"/>
                <w:sz w:val="22"/>
                <w:szCs w:val="20"/>
                <w:lang w:val="en-US" w:eastAsia="zh-CN"/>
              </w:rPr>
              <w:t>（四）损坏城市绿化设施的。</w:t>
            </w:r>
          </w:p>
        </w:tc>
        <w:tc>
          <w:tcPr>
            <w:tcW w:w="2017" w:type="dxa"/>
            <w:shd w:val="clear" w:color="auto" w:fill="auto"/>
            <w:noWrap w:val="0"/>
            <w:vAlign w:val="center"/>
          </w:tcPr>
          <w:p w14:paraId="7AB032C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城市绿化行政主管部门及城管执法部门</w:t>
            </w:r>
          </w:p>
        </w:tc>
      </w:tr>
      <w:tr w14:paraId="3311D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54CA7063">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shd w:val="clear" w:color="auto" w:fill="auto"/>
            <w:noWrap w:val="0"/>
            <w:vAlign w:val="center"/>
          </w:tcPr>
          <w:p w14:paraId="66C9426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对不按期完成建设工程项目附属绿化工程的处罚</w:t>
            </w:r>
          </w:p>
        </w:tc>
        <w:tc>
          <w:tcPr>
            <w:tcW w:w="2693" w:type="dxa"/>
            <w:shd w:val="clear" w:color="auto" w:fill="auto"/>
            <w:noWrap w:val="0"/>
            <w:vAlign w:val="center"/>
          </w:tcPr>
          <w:p w14:paraId="7D2EF83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责令限期完工后，在责令完工的期限内完成绿化工程的</w:t>
            </w:r>
          </w:p>
        </w:tc>
        <w:tc>
          <w:tcPr>
            <w:tcW w:w="5812" w:type="dxa"/>
            <w:shd w:val="clear" w:color="auto" w:fill="auto"/>
            <w:noWrap w:val="0"/>
            <w:vAlign w:val="center"/>
          </w:tcPr>
          <w:p w14:paraId="0CC240DA">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【设区的市地方性法规】《苏州市城市绿化条例》第十六条  建设工程项目的附属绿化工程，应当与主体工程同时规划、同时建设、同时完成。附属绿化工程确因季节原因或者其他不可抗力因素不能同时完成的，完成绿化的时间不得迟于主体工程建成后的第一个绿化季节。</w:t>
            </w:r>
          </w:p>
          <w:p w14:paraId="7C4A4EE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r>
              <w:rPr>
                <w:rFonts w:hint="default" w:asciiTheme="minorEastAsia" w:hAnsiTheme="minorEastAsia" w:eastAsiaTheme="minorEastAsia" w:cstheme="minorEastAsia"/>
                <w:spacing w:val="-2"/>
                <w:kern w:val="0"/>
                <w:sz w:val="22"/>
                <w:szCs w:val="20"/>
                <w:lang w:val="en-US" w:eastAsia="zh-CN"/>
              </w:rPr>
              <w:t>第三十七条  违反本条例第十六条规定，附属绿化工程未按期完成的，由城市绿化行政主管部门责令限期完成；逾期不完成的，按照未完成建设的绿地建设预算费用的一倍以上三倍以下处以罚款。</w:t>
            </w:r>
          </w:p>
        </w:tc>
        <w:tc>
          <w:tcPr>
            <w:tcW w:w="2017" w:type="dxa"/>
            <w:shd w:val="clear" w:color="auto" w:fill="auto"/>
            <w:noWrap w:val="0"/>
            <w:vAlign w:val="center"/>
          </w:tcPr>
          <w:p w14:paraId="45C5902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城市绿化行政主管部门</w:t>
            </w:r>
          </w:p>
        </w:tc>
      </w:tr>
      <w:tr w14:paraId="29AC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24D1E54C">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shd w:val="clear" w:color="auto" w:fill="auto"/>
            <w:noWrap w:val="0"/>
            <w:vAlign w:val="center"/>
          </w:tcPr>
          <w:p w14:paraId="3E72C2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对擅自砍伐、移植城市树木的处罚</w:t>
            </w:r>
          </w:p>
        </w:tc>
        <w:tc>
          <w:tcPr>
            <w:tcW w:w="2693" w:type="dxa"/>
            <w:shd w:val="clear" w:color="auto" w:fill="auto"/>
            <w:noWrap w:val="0"/>
            <w:vAlign w:val="center"/>
          </w:tcPr>
          <w:p w14:paraId="465E3E3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情节轻微</w:t>
            </w:r>
          </w:p>
        </w:tc>
        <w:tc>
          <w:tcPr>
            <w:tcW w:w="5812" w:type="dxa"/>
            <w:shd w:val="clear" w:color="auto" w:fill="auto"/>
            <w:noWrap w:val="0"/>
            <w:vAlign w:val="center"/>
          </w:tcPr>
          <w:p w14:paraId="480D09D4">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【设区的市地方性法规】《苏州市城市绿化条例》第二十九条第一款 城市中的树木，不论其所有权归属，任何单位和个人不得擅自砍伐、移植。</w:t>
            </w:r>
          </w:p>
          <w:p w14:paraId="31877A35">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第三十八条 违反本条例第二十九条第一款规定，擅自砍伐、移植城市树木的，由城市绿化行政主管部门责令停止侵害，采取补救措施，可以处损失费一倍以上五倍以下的罚款；造成损失的，依法承担赔偿责任；应当给予治安处罚的，依照《中华人民共和国治安管理处罚法》的有关规定处罚；构成犯罪的，依法追究刑事责任。</w:t>
            </w:r>
          </w:p>
          <w:p w14:paraId="782785A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Hans"/>
              </w:rPr>
            </w:pPr>
            <w:r>
              <w:rPr>
                <w:rFonts w:hint="default" w:asciiTheme="minorEastAsia" w:hAnsiTheme="minorEastAsia" w:eastAsiaTheme="minorEastAsia" w:cstheme="minorEastAsia"/>
                <w:spacing w:val="-2"/>
                <w:kern w:val="0"/>
                <w:sz w:val="22"/>
                <w:szCs w:val="20"/>
                <w:lang w:val="en-US" w:eastAsia="zh-CN"/>
              </w:rPr>
              <w:t>【地方政府规章】《苏州市城市管理相对集中行政处罚权实施办法》第十条　城管执法部门行使城市绿化管理方面法律、法规、规章规定的行政处罚权，但对发生在园林、风景名胜区、单位内部的城市绿化违法行为以及涉及古树名木保护的城市绿化违法行为的行政处罚权除外。</w:t>
            </w:r>
          </w:p>
        </w:tc>
        <w:tc>
          <w:tcPr>
            <w:tcW w:w="2017" w:type="dxa"/>
            <w:shd w:val="clear" w:color="auto" w:fill="auto"/>
            <w:noWrap w:val="0"/>
            <w:vAlign w:val="center"/>
          </w:tcPr>
          <w:p w14:paraId="62FE46C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城市绿化行政主管部门</w:t>
            </w:r>
            <w:r>
              <w:rPr>
                <w:rFonts w:hint="eastAsia" w:asciiTheme="minorEastAsia" w:hAnsiTheme="minorEastAsia" w:eastAsiaTheme="minorEastAsia" w:cstheme="minorEastAsia"/>
                <w:spacing w:val="-2"/>
                <w:kern w:val="0"/>
                <w:sz w:val="22"/>
                <w:szCs w:val="20"/>
                <w:lang w:val="en-US" w:eastAsia="zh-CN"/>
              </w:rPr>
              <w:t>及</w:t>
            </w:r>
            <w:r>
              <w:rPr>
                <w:rFonts w:hint="default" w:asciiTheme="minorEastAsia" w:hAnsiTheme="minorEastAsia" w:eastAsiaTheme="minorEastAsia" w:cstheme="minorEastAsia"/>
                <w:spacing w:val="-2"/>
                <w:kern w:val="0"/>
                <w:sz w:val="22"/>
                <w:szCs w:val="20"/>
                <w:lang w:val="en-US" w:eastAsia="zh-CN"/>
              </w:rPr>
              <w:t>城管执法部门</w:t>
            </w:r>
          </w:p>
        </w:tc>
      </w:tr>
      <w:tr w14:paraId="2EDD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2145D05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shd w:val="clear" w:color="auto" w:fill="auto"/>
            <w:noWrap w:val="0"/>
            <w:vAlign w:val="center"/>
          </w:tcPr>
          <w:p w14:paraId="050E1BA3">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Hans"/>
              </w:rPr>
              <w:t>对非法猎捕、杀害苏州市人民政府禁止猎捕的陆生野生动物行为的行政处罚</w:t>
            </w:r>
          </w:p>
        </w:tc>
        <w:tc>
          <w:tcPr>
            <w:tcW w:w="2693" w:type="dxa"/>
            <w:shd w:val="clear" w:color="auto" w:fill="auto"/>
            <w:noWrap w:val="0"/>
            <w:vAlign w:val="center"/>
          </w:tcPr>
          <w:p w14:paraId="06D9A8D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初次违法且同时满足以下条件：（1）当事人及时纠正、危害后果轻微的（猎获物评估价值1600元以下）；（2）在作出处罚决定前主动将野生动物送交野生动物保护主管部门收容救护的；（3）当事人经批评教育后，能充分认识到自己的错误，并承诺不再发生类似违法行为的。</w:t>
            </w:r>
          </w:p>
          <w:p w14:paraId="6C1D8B0F">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p>
        </w:tc>
        <w:tc>
          <w:tcPr>
            <w:tcW w:w="5812" w:type="dxa"/>
            <w:shd w:val="clear" w:color="auto" w:fill="auto"/>
            <w:noWrap w:val="0"/>
            <w:vAlign w:val="center"/>
          </w:tcPr>
          <w:p w14:paraId="55E8BD4C">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Hans"/>
              </w:rPr>
            </w:pPr>
            <w:r>
              <w:rPr>
                <w:rFonts w:hint="default" w:asciiTheme="minorEastAsia" w:hAnsiTheme="minorEastAsia" w:eastAsiaTheme="minorEastAsia" w:cstheme="minorEastAsia"/>
                <w:spacing w:val="-2"/>
                <w:kern w:val="0"/>
                <w:sz w:val="22"/>
                <w:szCs w:val="20"/>
                <w:lang w:val="en-US" w:eastAsia="zh-Hans"/>
              </w:rPr>
              <w:t>《苏州市禁止猎捕陆生野生动物条例》</w:t>
            </w:r>
          </w:p>
          <w:p w14:paraId="59C4190A">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Hans"/>
              </w:rPr>
            </w:pPr>
            <w:r>
              <w:rPr>
                <w:rFonts w:hint="eastAsia" w:asciiTheme="minorEastAsia" w:hAnsiTheme="minorEastAsia" w:eastAsiaTheme="minorEastAsia" w:cstheme="minorEastAsia"/>
                <w:spacing w:val="-2"/>
                <w:kern w:val="0"/>
                <w:sz w:val="22"/>
                <w:szCs w:val="20"/>
                <w:lang w:val="en-US" w:eastAsia="zh-CN"/>
              </w:rPr>
              <w:t xml:space="preserve">第八条 </w:t>
            </w:r>
            <w:r>
              <w:rPr>
                <w:rFonts w:hint="default" w:asciiTheme="minorEastAsia" w:hAnsiTheme="minorEastAsia" w:eastAsiaTheme="minorEastAsia" w:cstheme="minorEastAsia"/>
                <w:spacing w:val="-2"/>
                <w:kern w:val="0"/>
                <w:sz w:val="22"/>
                <w:szCs w:val="20"/>
                <w:lang w:val="en-US" w:eastAsia="zh-Hans"/>
              </w:rPr>
              <w:t xml:space="preserve">在本市行政区域内，禁止非法猎捕下列陆生野生动物：（一）国家重点保护的陆生野生动物；（二）江苏省重点保护的陆生野生动物；（三）苏州市重点保护的陆生野生动物，具体名录由市人民政府公布；（四）国务院野生动物保护主管部门公布的有重要生态、科学、社会价值的陆生野生动物。 因情况变化，对本市重点保护的陆生野生动物名录需要调整的，由市人民政府决定，并报市人民代表大会常务委员会备案。调整后的名录应当重新公布。 因科学研究、种群调控、人工繁育、疫源疫病监测、展览或者其他特殊情况等以非食用为目的，需要猎捕本条第一款规定的陆生野生动物的，应当按照法律、法规的规定申请特许猎捕证或者狩猎证。 </w:t>
            </w:r>
          </w:p>
          <w:p w14:paraId="46C0DDDB">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Hans"/>
              </w:rPr>
              <w:t>第十一条 违反本条例第八条第一款第三项规定，非法猎捕、杀害苏州市重点保护的陆生野生动物的，由林业行政主管部门没收猎获物、猎捕工具和违法所得，并处猎获物价值三倍以上十倍以下的罚款；没有猎获物的，并处一万元以上五万元以下的罚款；构成犯罪的，依法追究刑事责任。</w:t>
            </w:r>
          </w:p>
        </w:tc>
        <w:tc>
          <w:tcPr>
            <w:tcW w:w="2017" w:type="dxa"/>
            <w:shd w:val="clear" w:color="auto" w:fill="auto"/>
            <w:noWrap w:val="0"/>
            <w:vAlign w:val="center"/>
          </w:tcPr>
          <w:p w14:paraId="4F05A12C">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Hans"/>
              </w:rPr>
              <w:t>林业行政主管部门</w:t>
            </w:r>
          </w:p>
        </w:tc>
      </w:tr>
      <w:tr w14:paraId="337A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6951C49A">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noWrap w:val="0"/>
            <w:vAlign w:val="center"/>
          </w:tcPr>
          <w:p w14:paraId="244A1B9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对市容环卫责任人不履行市容环卫责任的处罚</w:t>
            </w:r>
          </w:p>
        </w:tc>
        <w:tc>
          <w:tcPr>
            <w:tcW w:w="2693" w:type="dxa"/>
            <w:noWrap w:val="0"/>
            <w:vAlign w:val="center"/>
          </w:tcPr>
          <w:p w14:paraId="1DD7A9E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初次违反，违法行为轻微，未造成危害后果，经责令改正后及时整改，采取有效补救措施。</w:t>
            </w:r>
          </w:p>
        </w:tc>
        <w:tc>
          <w:tcPr>
            <w:tcW w:w="5812" w:type="dxa"/>
            <w:noWrap w:val="0"/>
            <w:vAlign w:val="center"/>
          </w:tcPr>
          <w:p w14:paraId="3AF4CE0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【地方性法规】《江苏省城市市容和环境卫生管理条例》 </w:t>
            </w:r>
          </w:p>
          <w:p w14:paraId="56DD038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第七条 本省市容环卫管理工作实行责任区制度。市容环卫责任人应当在确定的责任区内履行市容环卫责任。市容环卫责任区是指有关单位和个人所有、管理或者使用的建（构）筑物或者其他设施、场所的土地使用权范围以及管理范围。具体范围由县（市、区）城市管理主管部门或者乡镇人民政府划定并公布。</w:t>
            </w:r>
          </w:p>
          <w:p w14:paraId="1AAB009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第九条 市容环卫责任人应当保持责任区内地面干净、立面整洁、设施完好，具体要求由设区的市人民政府制定并向社会公布。市容环卫责任人对责任区内损害市容环卫的行为，应当予以劝阻、制止；劝阻、制止无效的，向所在地城市管理等有关部门或者乡镇人民政府报告。</w:t>
            </w:r>
          </w:p>
          <w:p w14:paraId="28CB016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第六十二条 违反本条例第九条规定，市容环卫责任人不履行市容环卫责任，未保持责任区内地面干净、立面整洁、设施完好的，由设区的市、县（市、区）城市管理主管部门责令限期改正；逾期不改正的，给予警告，可以并处二百元以上二千元以下罚款。</w:t>
            </w:r>
          </w:p>
          <w:p w14:paraId="143CCB0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【地方性法规】《苏州市城市市容和环境卫生管理条例》</w:t>
            </w:r>
          </w:p>
          <w:p w14:paraId="0411ACD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第十一条 本市市容环卫管理工作实行责任区制度。市容环卫责任人应当在确定的责任区内履行市容环卫责任。市容环卫责任区是指有关单位和个人所有、管理或者使用的建（构）筑物或者其他设施、场所的土地使用权范围以及管理范围。具体范围由县级市（区）城市管理行政主管部门或者镇人民政府、街道办事处划定并公布。</w:t>
            </w:r>
          </w:p>
        </w:tc>
        <w:tc>
          <w:tcPr>
            <w:tcW w:w="2017" w:type="dxa"/>
            <w:noWrap w:val="0"/>
            <w:vAlign w:val="center"/>
          </w:tcPr>
          <w:p w14:paraId="3630997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市城管局，县级市、区城管局（综合行政执法局），行使相应行政处罚权的镇人民政府（街道办事处）。</w:t>
            </w:r>
          </w:p>
        </w:tc>
      </w:tr>
      <w:tr w14:paraId="4540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335D539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19EEDB5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对超出门、窗进行店外占道经营、作业的处罚</w:t>
            </w:r>
          </w:p>
        </w:tc>
        <w:tc>
          <w:tcPr>
            <w:tcW w:w="2693" w:type="dxa"/>
            <w:noWrap w:val="0"/>
            <w:vAlign w:val="center"/>
          </w:tcPr>
          <w:p w14:paraId="768CBDC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初次违反，违法行为轻微，及时改正，未造成危害后果。</w:t>
            </w:r>
          </w:p>
        </w:tc>
        <w:tc>
          <w:tcPr>
            <w:tcW w:w="5812" w:type="dxa"/>
            <w:noWrap w:val="0"/>
            <w:vAlign w:val="center"/>
          </w:tcPr>
          <w:p w14:paraId="5C03ADC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【地方性法规】《江苏省城市市容和环境卫生管理条例》 </w:t>
            </w:r>
          </w:p>
          <w:p w14:paraId="738C68B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第二十条 沿街和公共广场周围建（构）筑物内的经营者应当按照市容环卫责任要求履行相应责任，不得违反市容环卫、道路通行等规定，擅自超出门窗、外墙进行店外占道经营、作业或者展示商品。设区的市、县（市、区）、乡镇人民政府可以根据需要，确定并公布允许超出门窗、外墙进行店外经营、作业或者展示商品的区域范围、时段、业态，明确经营者的市容环卫责任等管理要求。</w:t>
            </w:r>
          </w:p>
          <w:p w14:paraId="7FC7BC8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第六十三条 违反本条例规定，有下列行为之一，影响市容的，由设区的市、县（市、区）城市管理主管部门按照以下规定处理：</w:t>
            </w:r>
          </w:p>
          <w:p w14:paraId="1A6B3F9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（七）擅自超出门窗、外墙进行店外占道经营、作业或者展示商品的，责令限期改正；逾期不改正的，处一百元以上一千元以下罚款。</w:t>
            </w:r>
          </w:p>
        </w:tc>
        <w:tc>
          <w:tcPr>
            <w:tcW w:w="2017" w:type="dxa"/>
            <w:noWrap w:val="0"/>
            <w:vAlign w:val="center"/>
          </w:tcPr>
          <w:p w14:paraId="4BFFCAE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市城管局，县级市、区城管局（综合行政执法局），行使相应行政处罚权的镇人民政府（街道办事处）。</w:t>
            </w:r>
          </w:p>
        </w:tc>
      </w:tr>
      <w:tr w14:paraId="1E1B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4901FD1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386D229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对擅自在城市照明设施上张贴、悬挂、设置宣传品、广告的处罚</w:t>
            </w:r>
          </w:p>
        </w:tc>
        <w:tc>
          <w:tcPr>
            <w:tcW w:w="2693" w:type="dxa"/>
            <w:noWrap w:val="0"/>
            <w:vAlign w:val="center"/>
          </w:tcPr>
          <w:p w14:paraId="7FD55CE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初次违反，违法行为轻微，及时改正，未造成危害后果。</w:t>
            </w:r>
          </w:p>
        </w:tc>
        <w:tc>
          <w:tcPr>
            <w:tcW w:w="5812" w:type="dxa"/>
            <w:noWrap w:val="0"/>
            <w:vAlign w:val="center"/>
          </w:tcPr>
          <w:p w14:paraId="77BE8CF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【规章】《城市照明管理规定》（住房和城乡建设部令第4号）                                                                            </w:t>
            </w:r>
          </w:p>
          <w:p w14:paraId="30C7D23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第二十八条 任何单位和个人都应当保护城市照明设施，不得实施下列行为：</w:t>
            </w:r>
          </w:p>
          <w:p w14:paraId="3FC9007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（三）擅自在城市照明设施上张贴、悬挂、设置宣传品、广告；</w:t>
            </w:r>
          </w:p>
          <w:p w14:paraId="11A96A0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第三十二条 违反本规定，有第二十八条规定行为之一的，由城市照明主管部门责令限期改正，对个人处以200元以上1000元以下的罚款；对单位处以1000元以上3万元以下的罚款；造成损失的，依法赔偿损失。</w:t>
            </w:r>
          </w:p>
        </w:tc>
        <w:tc>
          <w:tcPr>
            <w:tcW w:w="2017" w:type="dxa"/>
            <w:noWrap w:val="0"/>
            <w:vAlign w:val="center"/>
          </w:tcPr>
          <w:p w14:paraId="76C402F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市城管局，县级市、区城管局（综合行政执法局），行使相应行政处罚权的镇人民政府（街道办事处）。</w:t>
            </w:r>
          </w:p>
        </w:tc>
      </w:tr>
      <w:tr w14:paraId="648B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46A9E7BC">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082A8CA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对占用城市道路期满或者挖掘城市道路后，不及时清理现场的处罚</w:t>
            </w:r>
          </w:p>
        </w:tc>
        <w:tc>
          <w:tcPr>
            <w:tcW w:w="2693" w:type="dxa"/>
            <w:noWrap w:val="0"/>
            <w:vAlign w:val="center"/>
          </w:tcPr>
          <w:p w14:paraId="64EAA19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占用期满或挖掘城市道路后，未及时清理现场1日以内，及时改正，没有造成危害后果的。</w:t>
            </w:r>
          </w:p>
        </w:tc>
        <w:tc>
          <w:tcPr>
            <w:tcW w:w="5812" w:type="dxa"/>
            <w:noWrap w:val="0"/>
            <w:vAlign w:val="center"/>
          </w:tcPr>
          <w:p w14:paraId="729B7C9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【行政法规】《城市道路管理条例》（国务院令1996年第198号）                                                                         </w:t>
            </w:r>
          </w:p>
          <w:p w14:paraId="19BEE6C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第三十一条第二款　经批准临时占用城市道路的，不得损坏城市道路；占用期满后，应当及时清理占用现场，恢复城市道路原状；损坏城市道路的，应当修复或者给予赔偿。     </w:t>
            </w:r>
          </w:p>
          <w:p w14:paraId="4D7A476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第四十二条 违反本条例第二十七条规定，或者有下列行为之一的，由市政工程行政主管部门或者其他有关部门责令限期改正，可以处以2万元以下的罚款；造成损失的，应当依法承担赔偿责任：</w:t>
            </w:r>
          </w:p>
          <w:p w14:paraId="1AC5CCB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（三）占用城市道路期满或者挖掘城市道路后，不及时清理现场的；</w:t>
            </w:r>
          </w:p>
        </w:tc>
        <w:tc>
          <w:tcPr>
            <w:tcW w:w="2017" w:type="dxa"/>
            <w:noWrap w:val="0"/>
            <w:vAlign w:val="center"/>
          </w:tcPr>
          <w:p w14:paraId="54F1CF3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市城管局，县级市、区城管局（综合行政执法局），行使相应行政处罚权的镇人民政府（街道办事处）。</w:t>
            </w:r>
          </w:p>
        </w:tc>
      </w:tr>
      <w:tr w14:paraId="30D4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30623B3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noWrap w:val="0"/>
            <w:vAlign w:val="center"/>
          </w:tcPr>
          <w:p w14:paraId="6D29282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对擅自占用道路、人行过街桥、人行地下过街通道、地铁通道以及其他公共场地摆摊设点的处罚</w:t>
            </w:r>
          </w:p>
        </w:tc>
        <w:tc>
          <w:tcPr>
            <w:tcW w:w="2693" w:type="dxa"/>
            <w:noWrap w:val="0"/>
            <w:vAlign w:val="center"/>
          </w:tcPr>
          <w:p w14:paraId="2628E84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初次违反，违法行为轻微，及时改正，未造成危害后果。</w:t>
            </w:r>
          </w:p>
        </w:tc>
        <w:tc>
          <w:tcPr>
            <w:tcW w:w="5812" w:type="dxa"/>
            <w:noWrap w:val="0"/>
            <w:vAlign w:val="center"/>
          </w:tcPr>
          <w:p w14:paraId="54627D2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【地方性法规】《江苏省城市市容和环境卫生管理条例》 　</w:t>
            </w:r>
          </w:p>
          <w:p w14:paraId="3210328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第十九条 任何单位和个人不得擅自占用道路、公共广场、人行过街桥、人行地下通道等公共场地摆摊设点，不得擅自占用道路在货运车辆上兜售物品。经批准或者疏导临时占用道路、公共广场或者其他公共场地摆摊设点的，经营者应当按照规定的时间、区域经营并保持场地及周围环境卫生、整洁、有序。</w:t>
            </w:r>
          </w:p>
          <w:p w14:paraId="2459319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第六十三条 违反本条例规定，有下列行为之一，影响市容的，由设区的市、县（市、区）城市管理主管部门按照以下规定处理：　</w:t>
            </w:r>
          </w:p>
          <w:p w14:paraId="6545F85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六）擅自占用道路、公共广场、人行过街桥、人行地下通道以及其他公共场地摆摊设点的，责令停止违法行为；继续违法经营的，可以依法扣押涉案的物品及其装盛器具，处二十元以上二百元以下罚款；擅自占用道路在货运车辆上兜售物品的，处五百元以上五千元以下罚款。依法决定实施扣押的，应当履行法定程序，制作并当场交付扣押决定书和清单。</w:t>
            </w:r>
          </w:p>
        </w:tc>
        <w:tc>
          <w:tcPr>
            <w:tcW w:w="2017" w:type="dxa"/>
            <w:noWrap w:val="0"/>
            <w:vAlign w:val="center"/>
          </w:tcPr>
          <w:p w14:paraId="4828E54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市城管局，县级市、区城管局（综合行政执法局），行使相应行政处罚权的镇人民政府（街道办事处）。</w:t>
            </w:r>
          </w:p>
        </w:tc>
      </w:tr>
      <w:tr w14:paraId="6844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2F600B7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noWrap w:val="0"/>
            <w:vAlign w:val="center"/>
          </w:tcPr>
          <w:p w14:paraId="283851B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对未在挖掘现场悬挂《挖掘道路许可证》的</w:t>
            </w:r>
          </w:p>
        </w:tc>
        <w:tc>
          <w:tcPr>
            <w:tcW w:w="2693" w:type="dxa"/>
            <w:noWrap w:val="0"/>
            <w:vAlign w:val="center"/>
          </w:tcPr>
          <w:p w14:paraId="3D1491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初次违反，违法行为轻微，及时改正，未造成危害后果。</w:t>
            </w:r>
          </w:p>
        </w:tc>
        <w:tc>
          <w:tcPr>
            <w:tcW w:w="5812" w:type="dxa"/>
            <w:noWrap w:val="0"/>
            <w:vAlign w:val="center"/>
          </w:tcPr>
          <w:p w14:paraId="4C72352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【地方性法规】《苏州市市政设施管理条例》</w:t>
            </w:r>
          </w:p>
          <w:p w14:paraId="0D0F6CD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第二十三条 经批准挖掘城市道路的单位和个人，应当遵守下列规定：（二）在挖掘现场悬挂《挖掘道路许可证》，按证实施，不得擅自变更；</w:t>
            </w:r>
          </w:p>
          <w:p w14:paraId="56FC13F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第五十一条  违反本条例第十八条、第十九条、第二十条、第二十一条第一款、第二十二条、第二十三条、第二十六条第一款、第二十八条、第四十八条规定的，由市政设施行政主管部门责令限期改正，处以二千元以上一万元以下罚款；情节严重的，处以一万元以上二万元以下罚款。</w:t>
            </w:r>
          </w:p>
        </w:tc>
        <w:tc>
          <w:tcPr>
            <w:tcW w:w="2017" w:type="dxa"/>
            <w:noWrap w:val="0"/>
            <w:vAlign w:val="center"/>
          </w:tcPr>
          <w:p w14:paraId="2E385B6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市城管局，县级市、区城管局（综合行政执法局），行使相应行政处罚权的镇人民政府（街道办事处）。</w:t>
            </w:r>
          </w:p>
        </w:tc>
      </w:tr>
      <w:tr w14:paraId="0EB7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2A9C3A8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noWrap w:val="0"/>
            <w:vAlign w:val="center"/>
          </w:tcPr>
          <w:p w14:paraId="13A868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对在他人停放的车辆上擅自插放、散发、张贴宣传品的处罚</w:t>
            </w:r>
          </w:p>
        </w:tc>
        <w:tc>
          <w:tcPr>
            <w:tcW w:w="2693" w:type="dxa"/>
            <w:noWrap w:val="0"/>
            <w:vAlign w:val="center"/>
          </w:tcPr>
          <w:p w14:paraId="600C430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初次违反，违法行为轻微，及时改正，未造成危害后果。</w:t>
            </w:r>
          </w:p>
        </w:tc>
        <w:tc>
          <w:tcPr>
            <w:tcW w:w="5812" w:type="dxa"/>
            <w:noWrap w:val="0"/>
            <w:vAlign w:val="center"/>
          </w:tcPr>
          <w:p w14:paraId="05F64C6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【地方性法规】《苏州市城市市容和环境卫生管理条例》</w:t>
            </w:r>
          </w:p>
          <w:p w14:paraId="64A5D5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第三十二条 单位和个人应当自觉维护环境卫生，禁止下列影响公共场所环境卫生的行为：</w:t>
            </w:r>
          </w:p>
          <w:p w14:paraId="6E804A0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（五）在他人停放的车辆上擅自插放、散发、张贴宣传品；</w:t>
            </w:r>
          </w:p>
          <w:p w14:paraId="093DEC1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第四十九条 违反本条例第三十二条规定，有下列行为之一的，按照以下规定处理：</w:t>
            </w:r>
          </w:p>
          <w:p w14:paraId="27A4731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（二）在他人停放的车辆上擅自插放、散发、张贴宣传品的，由城市管理行政主管部门责令改正，对个人处以五十元以上二百元以下罚款，对单位处以五百元以上一千元以下罚款。</w:t>
            </w:r>
          </w:p>
        </w:tc>
        <w:tc>
          <w:tcPr>
            <w:tcW w:w="2017" w:type="dxa"/>
            <w:noWrap w:val="0"/>
            <w:vAlign w:val="center"/>
          </w:tcPr>
          <w:p w14:paraId="60071D3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市城管局，县级市、区城管局（综合行政执法局），行使相应行政处罚权的镇人民政府（街道办事处）。</w:t>
            </w:r>
          </w:p>
        </w:tc>
      </w:tr>
      <w:tr w14:paraId="16A5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737F285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noWrap w:val="0"/>
            <w:vAlign w:val="center"/>
          </w:tcPr>
          <w:p w14:paraId="4056940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对未将自行收集、运输和处置方案向市容环境卫生行政主管部门备案的处罚</w:t>
            </w:r>
          </w:p>
        </w:tc>
        <w:tc>
          <w:tcPr>
            <w:tcW w:w="2693" w:type="dxa"/>
            <w:noWrap w:val="0"/>
            <w:vAlign w:val="center"/>
          </w:tcPr>
          <w:p w14:paraId="4D0113A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初次违反，违法行为轻微，及时改正，未造成危害后果。</w:t>
            </w:r>
          </w:p>
        </w:tc>
        <w:tc>
          <w:tcPr>
            <w:tcW w:w="5812" w:type="dxa"/>
            <w:noWrap w:val="0"/>
            <w:vAlign w:val="center"/>
          </w:tcPr>
          <w:p w14:paraId="02DFCA2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【政府规章】《苏州市餐厨垃圾管理办法》（2009年苏州市人民政府第110号令）</w:t>
            </w:r>
          </w:p>
          <w:p w14:paraId="111445E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第四条  市市容环境卫生行政主管部门负责本行政区域内有关餐厨垃圾的监督管理工作。</w:t>
            </w:r>
          </w:p>
          <w:p w14:paraId="5B188EE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县级市、区市容环境卫生行政主管部门根据管理权限，负责本辖区内有关餐厨垃圾的监督管理工作。</w:t>
            </w:r>
          </w:p>
          <w:p w14:paraId="332C6EC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发改、经信、公安、财政、水利（水务）、农业、商务、卫生、环保、食药监、物价、工商、质监等行政主管部门应当按照各自职责，做好餐厨垃圾的监督管理工作。</w:t>
            </w:r>
          </w:p>
          <w:p w14:paraId="667BAB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第十四条 食品生产经营者应当和具有经营性收集、运输服务许可证的收运单位签订餐厨垃圾收运合同，报所在地市容环境卫生行政主管部门备案。食品生产经营者在向环保、食药监、质监等部门办理有关手续和年审时，应当提供餐厨垃圾收运合同；自行收运、处置餐厨垃圾的单位，应当提供已备案的收集、运输和处置方案。  </w:t>
            </w:r>
          </w:p>
          <w:p w14:paraId="1336675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第二十条  违反本办法规定，有下列行为之一的，由市容环境卫生行政主管部门责令限期改正，逾期不改正的，可处以1000元以上1万以下罚款：（三）未将自行收集、运输和处置方案向市容环境卫生行政主管部门备案的；</w:t>
            </w:r>
          </w:p>
        </w:tc>
        <w:tc>
          <w:tcPr>
            <w:tcW w:w="2017" w:type="dxa"/>
            <w:noWrap w:val="0"/>
            <w:vAlign w:val="center"/>
          </w:tcPr>
          <w:p w14:paraId="20785D0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市城管局，县级市、区城管局（综合行政执法局），行使相应行政处罚权的镇人民政府（街道办事处）。</w:t>
            </w:r>
          </w:p>
        </w:tc>
      </w:tr>
      <w:tr w14:paraId="194A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32" w:type="dxa"/>
            <w:noWrap w:val="0"/>
            <w:vAlign w:val="center"/>
          </w:tcPr>
          <w:p w14:paraId="3049FE7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noWrap w:val="0"/>
            <w:vAlign w:val="center"/>
          </w:tcPr>
          <w:p w14:paraId="5C42ABC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对餐厨垃圾收运单位和处置单位建立的收运、处置台帐弄虚作假的处罚</w:t>
            </w:r>
          </w:p>
        </w:tc>
        <w:tc>
          <w:tcPr>
            <w:tcW w:w="2693" w:type="dxa"/>
            <w:noWrap w:val="0"/>
            <w:vAlign w:val="center"/>
          </w:tcPr>
          <w:p w14:paraId="74DAD4C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初次违反，违法行为轻微，及时改正，未造成危害后果。</w:t>
            </w:r>
          </w:p>
        </w:tc>
        <w:tc>
          <w:tcPr>
            <w:tcW w:w="5812" w:type="dxa"/>
            <w:noWrap w:val="0"/>
            <w:vAlign w:val="center"/>
          </w:tcPr>
          <w:p w14:paraId="4222396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【政府规章】《苏州市餐厨垃圾管理办法》（2009年苏州市人民政府第110号令）</w:t>
            </w:r>
          </w:p>
          <w:p w14:paraId="3F967F4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第四条  市市容环境卫生行政主管部门负责本行政区域内有关餐厨垃圾的监督管理工作。</w:t>
            </w:r>
          </w:p>
          <w:p w14:paraId="500109D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县级市、区市容环境卫生行政主管部门根据管理权限，负责本辖区内有关餐厨垃圾的监督管理工作。</w:t>
            </w:r>
          </w:p>
          <w:p w14:paraId="27D1289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发改、经信、公安、财政、水利（水务）、农业、商务、卫生、环保、食药监、物价、工商、质监等行政主管部门应当按照各自职责，做好餐厨垃圾的监督管理工作。</w:t>
            </w:r>
          </w:p>
          <w:p w14:paraId="36732F2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第十三条第二款  餐厨垃圾的收运单位和处置单位应当建立收运、处置台账，保证数据的真实性,并每月向所在地市容环境卫生行政主管部门申报餐厨垃圾的种类、数量等情况。  </w:t>
            </w:r>
          </w:p>
          <w:p w14:paraId="0AB26AC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    第二十二条  餐厨垃圾收运单位和处置单位建立的收运、处置台账弄虚作假的，由市容环境卫生行政主管部门处以5000元以上3万元以下罚款。</w:t>
            </w:r>
          </w:p>
        </w:tc>
        <w:tc>
          <w:tcPr>
            <w:tcW w:w="2017" w:type="dxa"/>
            <w:noWrap w:val="0"/>
            <w:vAlign w:val="center"/>
          </w:tcPr>
          <w:p w14:paraId="5884E77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市城管局，县级市、区城管局（综合行政执法局），行使相应行政处罚权的镇人民政府（街道办事处）。</w:t>
            </w:r>
          </w:p>
        </w:tc>
      </w:tr>
      <w:tr w14:paraId="6A5FE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B6E851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p>
        </w:tc>
        <w:tc>
          <w:tcPr>
            <w:tcW w:w="3112" w:type="dxa"/>
            <w:noWrap w:val="0"/>
            <w:vAlign w:val="center"/>
          </w:tcPr>
          <w:p w14:paraId="0CA01D3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在普通国省道公路建筑控制区外修建设施遮挡公路标志或者妨碍安全视距</w:t>
            </w:r>
          </w:p>
        </w:tc>
        <w:tc>
          <w:tcPr>
            <w:tcW w:w="2693" w:type="dxa"/>
            <w:noWrap w:val="0"/>
            <w:vAlign w:val="center"/>
          </w:tcPr>
          <w:p w14:paraId="5C48CDB9">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相关设施经责令主动拆除</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未导致事故发生</w:t>
            </w:r>
            <w:r>
              <w:rPr>
                <w:rFonts w:hint="eastAsia" w:asciiTheme="minorEastAsia" w:hAnsiTheme="minorEastAsia" w:eastAsiaTheme="minorEastAsia" w:cstheme="minorEastAsia"/>
                <w:spacing w:val="-2"/>
                <w:kern w:val="0"/>
                <w:sz w:val="22"/>
                <w:szCs w:val="20"/>
                <w:lang w:eastAsia="zh-CN"/>
              </w:rPr>
              <w:t>。</w:t>
            </w:r>
          </w:p>
          <w:p w14:paraId="2CB2AA1C">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3.</w:t>
            </w:r>
            <w:r>
              <w:rPr>
                <w:rFonts w:hint="eastAsia" w:asciiTheme="minorEastAsia" w:hAnsiTheme="minorEastAsia" w:eastAsiaTheme="minorEastAsia" w:cstheme="minorEastAsia"/>
                <w:spacing w:val="-2"/>
                <w:kern w:val="0"/>
                <w:sz w:val="22"/>
                <w:szCs w:val="20"/>
              </w:rPr>
              <w:t>没有造成危害后果的</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628D625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《公路安全保护条例》第十三条第二款 在公路建筑控制区外修建的建筑物、地面构筑物以及其他设施不得遮挡公路标志，不得妨碍安全视距。</w:t>
            </w:r>
          </w:p>
          <w:p w14:paraId="7855F0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《公路安全保护条例》第五十六条 违反本条例的规定，有下列情形之一的，由公路管理机构责令限期拆除，可以处5万元以下的罚款。逾期不拆除的，由公路管理机构拆除，有关费用由违法行为人承担：（二）在公路建筑控制区外修建的建筑物、地面构筑物以及其他设施遮挡公路标志或者妨碍安全视距的。</w:t>
            </w:r>
          </w:p>
        </w:tc>
        <w:tc>
          <w:tcPr>
            <w:tcW w:w="2017" w:type="dxa"/>
            <w:noWrap w:val="0"/>
            <w:vAlign w:val="center"/>
          </w:tcPr>
          <w:p w14:paraId="0E513D0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苏州市及各市（区）交通运输综合执法机构</w:t>
            </w:r>
          </w:p>
        </w:tc>
      </w:tr>
      <w:tr w14:paraId="66173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8BE788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w:t>
            </w:r>
          </w:p>
        </w:tc>
        <w:tc>
          <w:tcPr>
            <w:tcW w:w="3112" w:type="dxa"/>
            <w:noWrap w:val="0"/>
            <w:vAlign w:val="center"/>
          </w:tcPr>
          <w:p w14:paraId="51F728F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车辆装载物触地拖行、掉落、遗洒或者飘散，造成普通国省道路面损坏、污染</w:t>
            </w:r>
          </w:p>
        </w:tc>
        <w:tc>
          <w:tcPr>
            <w:tcW w:w="2693" w:type="dxa"/>
            <w:noWrap w:val="0"/>
            <w:vAlign w:val="center"/>
          </w:tcPr>
          <w:p w14:paraId="389999F7">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非故意、轻微污染公路路面</w:t>
            </w:r>
            <w:r>
              <w:rPr>
                <w:rFonts w:hint="eastAsia" w:asciiTheme="minorEastAsia" w:hAnsiTheme="minorEastAsia" w:eastAsiaTheme="minorEastAsia" w:cstheme="minorEastAsia"/>
                <w:spacing w:val="-2"/>
                <w:kern w:val="0"/>
                <w:sz w:val="22"/>
                <w:szCs w:val="20"/>
                <w:lang w:eastAsia="zh-CN"/>
              </w:rPr>
              <w:t>。</w:t>
            </w:r>
          </w:p>
          <w:p w14:paraId="67C3074C">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未导致事故发生</w:t>
            </w:r>
            <w:r>
              <w:rPr>
                <w:rFonts w:hint="eastAsia" w:asciiTheme="minorEastAsia" w:hAnsiTheme="minorEastAsia" w:eastAsiaTheme="minorEastAsia" w:cstheme="minorEastAsia"/>
                <w:spacing w:val="-2"/>
                <w:kern w:val="0"/>
                <w:sz w:val="22"/>
                <w:szCs w:val="20"/>
                <w:lang w:eastAsia="zh-CN"/>
              </w:rPr>
              <w:t>。</w:t>
            </w:r>
          </w:p>
          <w:p w14:paraId="25C926F0">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3.</w:t>
            </w:r>
            <w:r>
              <w:rPr>
                <w:rFonts w:hint="eastAsia" w:asciiTheme="minorEastAsia" w:hAnsiTheme="minorEastAsia" w:eastAsiaTheme="minorEastAsia" w:cstheme="minorEastAsia"/>
                <w:spacing w:val="-2"/>
                <w:kern w:val="0"/>
                <w:sz w:val="22"/>
                <w:szCs w:val="20"/>
              </w:rPr>
              <w:t>能及时纠正或者损坏公路路产能及时报告并足额予以赔偿的</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0C4E679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《公路安全保护条例》第四十三条 车辆应当规范装载，装载物不得触地拖行。车辆装载物易掉落、遗洒或者飘散的，应当采取厢式密闭等有效防护措施方可在公路上行驶。公路上行驶车辆的装载物掉落、遗洒或者飘散的，车辆驾驶人、押运人员应当及时采取措施处理；无法处理的，应当在掉落、遗洒或者飘散物来车方向适当距离外设置警示标志，并迅速报告公路管理机构或者公安机关交通管理部门。其他人员发现公路上有影响交通安全的障碍物的，也应当及时报告公路管理机构或者公安机关交通管理部门。公安机关交通管理部门应当责令改正车辆装载物掉落、遗洒、飘散等违法行为；公路管理机构、公路经营企业应当及时清除掉落、遗洒、飘散在公路上的障碍物。车辆装载物掉落、遗洒、飘散后，车辆驾驶人、押运人员未及时采取措施处理，造成他人人身、财产损害的，道路运输企业、车辆驾驶人应当依法承担赔偿责任。</w:t>
            </w:r>
          </w:p>
          <w:p w14:paraId="1EC0D49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《公路安全保护条例》第六十九条 车辆装载物触地拖行、掉落、遗洒或者飘散，造成公路路面损坏、污染的，由公路管理机构责令改正，处5000元以下的罚款。</w:t>
            </w:r>
          </w:p>
          <w:p w14:paraId="3D1FC75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《江苏省公路条例》第四十一条 禁止车辆在运输货物着地的情况下行驶。车辆运输易抛洒、滴漏、飞扬、散落、污染等物品时，应当采取有效的防护或者密封措施。</w:t>
            </w:r>
          </w:p>
          <w:p w14:paraId="64D03E1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《江苏省公路条例》第六十</w:t>
            </w:r>
            <w:r>
              <w:rPr>
                <w:rFonts w:hint="eastAsia" w:asciiTheme="minorEastAsia" w:hAnsiTheme="minorEastAsia" w:eastAsiaTheme="minorEastAsia" w:cstheme="minorEastAsia"/>
                <w:spacing w:val="-2"/>
                <w:kern w:val="0"/>
                <w:sz w:val="22"/>
                <w:szCs w:val="20"/>
                <w:lang w:eastAsia="zh-CN"/>
              </w:rPr>
              <w:t>五</w:t>
            </w:r>
            <w:r>
              <w:rPr>
                <w:rFonts w:hint="eastAsia" w:asciiTheme="minorEastAsia" w:hAnsiTheme="minorEastAsia" w:eastAsiaTheme="minorEastAsia" w:cstheme="minorEastAsia"/>
                <w:spacing w:val="-2"/>
                <w:kern w:val="0"/>
                <w:sz w:val="22"/>
                <w:szCs w:val="20"/>
              </w:rPr>
              <w:t>条 违反本条例第四十一条规定，货物着地行驶或者车辆未采取有效的防护或者密封措施的，由交通运输主管部门责令改正；对公路造成污染或者损坏的，应当依法承担赔偿责任，并可以处五百元以上五千元以下的罚款。</w:t>
            </w:r>
          </w:p>
        </w:tc>
        <w:tc>
          <w:tcPr>
            <w:tcW w:w="2017" w:type="dxa"/>
            <w:noWrap w:val="0"/>
            <w:vAlign w:val="center"/>
          </w:tcPr>
          <w:p w14:paraId="25CD3F6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苏州市及各市（区）交通运输综合执法机构</w:t>
            </w:r>
          </w:p>
        </w:tc>
      </w:tr>
      <w:tr w14:paraId="6E90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4F9DBE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w:t>
            </w:r>
          </w:p>
        </w:tc>
        <w:tc>
          <w:tcPr>
            <w:tcW w:w="3112" w:type="dxa"/>
            <w:noWrap w:val="0"/>
            <w:vAlign w:val="center"/>
          </w:tcPr>
          <w:p w14:paraId="4F168E8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擅自在公路用地范围内设置公路标志以外的其他标志</w:t>
            </w:r>
          </w:p>
        </w:tc>
        <w:tc>
          <w:tcPr>
            <w:tcW w:w="2693" w:type="dxa"/>
            <w:noWrap w:val="0"/>
            <w:vAlign w:val="center"/>
          </w:tcPr>
          <w:p w14:paraId="65FAAEAC">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擅自在公路用地范围内设置非交通标志，经警示后主动及时拆除的</w:t>
            </w:r>
            <w:r>
              <w:rPr>
                <w:rFonts w:hint="eastAsia" w:asciiTheme="minorEastAsia" w:hAnsiTheme="minorEastAsia" w:eastAsiaTheme="minorEastAsia" w:cstheme="minorEastAsia"/>
                <w:spacing w:val="-2"/>
                <w:kern w:val="0"/>
                <w:sz w:val="22"/>
                <w:szCs w:val="20"/>
                <w:lang w:eastAsia="zh-CN"/>
              </w:rPr>
              <w:t>。</w:t>
            </w:r>
          </w:p>
          <w:p w14:paraId="15C31438">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没有造成危害后果的</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1BE453F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《中华人民共和国公路法》第五十四条 任何单位和个人未经县级以上地方人民政府交通主管部门批准，不得在公路用地范围内设置公路标志以外的其他标志。</w:t>
            </w:r>
          </w:p>
          <w:p w14:paraId="4D61CA2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《中华人民共和国公路法》第七十九条 违反本法第五十四条规定，在公路用地范围内设置公路标志以外的其他标志的，由交通主管部门责令限期拆除，可以处二万元以下的罚款；逾期不拆除的，由交通主管部门拆除，有关费用由设置者负担。</w:t>
            </w:r>
          </w:p>
          <w:p w14:paraId="139C656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《江苏省公路条例》第三十七条第二款 任何单位和个人未经交通运输主管部门批准，不得在公路用地范围内设置公路标志以外的其他标志。</w:t>
            </w:r>
          </w:p>
          <w:p w14:paraId="00FDF12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《江苏省公路条例》第六十</w:t>
            </w:r>
            <w:r>
              <w:rPr>
                <w:rFonts w:hint="eastAsia" w:asciiTheme="minorEastAsia" w:hAnsiTheme="minorEastAsia" w:eastAsiaTheme="minorEastAsia" w:cstheme="minorEastAsia"/>
                <w:spacing w:val="-2"/>
                <w:kern w:val="0"/>
                <w:sz w:val="22"/>
                <w:szCs w:val="20"/>
                <w:lang w:eastAsia="zh-CN"/>
              </w:rPr>
              <w:t>四</w:t>
            </w:r>
            <w:r>
              <w:rPr>
                <w:rFonts w:hint="eastAsia" w:asciiTheme="minorEastAsia" w:hAnsiTheme="minorEastAsia" w:eastAsiaTheme="minorEastAsia" w:cstheme="minorEastAsia"/>
                <w:spacing w:val="-2"/>
                <w:kern w:val="0"/>
                <w:sz w:val="22"/>
                <w:szCs w:val="20"/>
              </w:rPr>
              <w:t>条 有下列违法行为之一的，由交通运输主管部门责令停止违法行为，限期改正，并可以给予以下处罚：（四）违反本条例第三十七条第二款规定，在公路用地范围内设置公路标志以外的其他标志的，可以处二万元以下的罚款，逾期不改正的，由交通运输主管部门强制拆除，有关费用由设置者承担。</w:t>
            </w:r>
          </w:p>
        </w:tc>
        <w:tc>
          <w:tcPr>
            <w:tcW w:w="2017" w:type="dxa"/>
            <w:noWrap w:val="0"/>
            <w:vAlign w:val="center"/>
          </w:tcPr>
          <w:p w14:paraId="6620C53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苏州市及各市（区）交通运输综合执法机构</w:t>
            </w:r>
          </w:p>
        </w:tc>
      </w:tr>
      <w:tr w14:paraId="600C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237A710">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w:t>
            </w:r>
          </w:p>
        </w:tc>
        <w:tc>
          <w:tcPr>
            <w:tcW w:w="3112" w:type="dxa"/>
            <w:noWrap w:val="0"/>
            <w:vAlign w:val="center"/>
          </w:tcPr>
          <w:p w14:paraId="26D7158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建设单位擅自设置航标等设施</w:t>
            </w:r>
          </w:p>
        </w:tc>
        <w:tc>
          <w:tcPr>
            <w:tcW w:w="2693" w:type="dxa"/>
            <w:noWrap w:val="0"/>
            <w:vAlign w:val="center"/>
          </w:tcPr>
          <w:p w14:paraId="17D89818">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设置的航标经警示后主动及时拆除</w:t>
            </w:r>
            <w:r>
              <w:rPr>
                <w:rFonts w:hint="eastAsia" w:asciiTheme="minorEastAsia" w:hAnsiTheme="minorEastAsia" w:eastAsiaTheme="minorEastAsia" w:cstheme="minorEastAsia"/>
                <w:spacing w:val="-2"/>
                <w:kern w:val="0"/>
                <w:sz w:val="22"/>
                <w:szCs w:val="20"/>
                <w:lang w:eastAsia="zh-CN"/>
              </w:rPr>
              <w:t>。</w:t>
            </w:r>
          </w:p>
          <w:p w14:paraId="0FFFA0FD">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没有造成危害后果的</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49A55E0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《中华人民共和国航道法》第三十四条 在通航水域上建设桥梁等建筑物，建设单位应当按照国家有关规定和技术要求设置航标等设施，并承担相应费用。</w:t>
            </w:r>
          </w:p>
          <w:p w14:paraId="06FB47D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《中华人民共和国航道法》第四十一条 在通航水域上建设桥梁等建筑物，建设单位未按照规定设置航标等设施的，由负责航道管理的部门或者海事管理机构责令改正，处五万元以下罚款。</w:t>
            </w:r>
          </w:p>
        </w:tc>
        <w:tc>
          <w:tcPr>
            <w:tcW w:w="2017" w:type="dxa"/>
            <w:noWrap w:val="0"/>
            <w:vAlign w:val="center"/>
          </w:tcPr>
          <w:p w14:paraId="6C07730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苏州市及各市（区）交通运输综合执法机构</w:t>
            </w:r>
          </w:p>
        </w:tc>
      </w:tr>
      <w:tr w14:paraId="7899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980453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w:t>
            </w:r>
          </w:p>
        </w:tc>
        <w:tc>
          <w:tcPr>
            <w:tcW w:w="3112" w:type="dxa"/>
            <w:noWrap w:val="0"/>
            <w:vAlign w:val="center"/>
          </w:tcPr>
          <w:p w14:paraId="69B5E88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在航道内设置渔具或者水产养殖设施</w:t>
            </w:r>
          </w:p>
        </w:tc>
        <w:tc>
          <w:tcPr>
            <w:tcW w:w="2693" w:type="dxa"/>
            <w:noWrap w:val="0"/>
            <w:vAlign w:val="center"/>
          </w:tcPr>
          <w:p w14:paraId="6CFB5C3C">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设置的设施经警示后主动及时清除</w:t>
            </w:r>
            <w:r>
              <w:rPr>
                <w:rFonts w:hint="eastAsia" w:asciiTheme="minorEastAsia" w:hAnsiTheme="minorEastAsia" w:eastAsiaTheme="minorEastAsia" w:cstheme="minorEastAsia"/>
                <w:spacing w:val="-2"/>
                <w:kern w:val="0"/>
                <w:sz w:val="22"/>
                <w:szCs w:val="20"/>
                <w:lang w:eastAsia="zh-CN"/>
              </w:rPr>
              <w:t>。</w:t>
            </w:r>
          </w:p>
          <w:p w14:paraId="47C79414">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未导致事故发生</w:t>
            </w:r>
            <w:r>
              <w:rPr>
                <w:rFonts w:hint="eastAsia" w:asciiTheme="minorEastAsia" w:hAnsiTheme="minorEastAsia" w:eastAsiaTheme="minorEastAsia" w:cstheme="minorEastAsia"/>
                <w:spacing w:val="-2"/>
                <w:kern w:val="0"/>
                <w:sz w:val="22"/>
                <w:szCs w:val="20"/>
                <w:lang w:eastAsia="zh-CN"/>
              </w:rPr>
              <w:t>。</w:t>
            </w:r>
          </w:p>
          <w:p w14:paraId="6F3DC9D9">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3.</w:t>
            </w:r>
            <w:r>
              <w:rPr>
                <w:rFonts w:hint="eastAsia" w:asciiTheme="minorEastAsia" w:hAnsiTheme="minorEastAsia" w:eastAsiaTheme="minorEastAsia" w:cstheme="minorEastAsia"/>
                <w:spacing w:val="-2"/>
                <w:kern w:val="0"/>
                <w:sz w:val="22"/>
                <w:szCs w:val="20"/>
              </w:rPr>
              <w:t>没有造成危害后果的</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5E65D4A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《中华人民共和国航道法》第三十五条 禁止下列危害航道通航安全的行为：（一）在航道内设置渔具或者水产养殖设施的；</w:t>
            </w:r>
          </w:p>
          <w:p w14:paraId="204265D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《中华人民共和国航道法》第四十二条 违反本法规定，有下列行为之一的，由负责航道管理的部门责令改正，对单位处五万元以下罚款，对个人处二千元以下罚款；造成损失的，依法承担赔偿责任；（一）在航道内设置渔具或者水产养殖设施的；</w:t>
            </w:r>
          </w:p>
        </w:tc>
        <w:tc>
          <w:tcPr>
            <w:tcW w:w="2017" w:type="dxa"/>
            <w:noWrap w:val="0"/>
            <w:vAlign w:val="center"/>
          </w:tcPr>
          <w:p w14:paraId="296A829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58DC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EFA7B33">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6</w:t>
            </w:r>
          </w:p>
        </w:tc>
        <w:tc>
          <w:tcPr>
            <w:tcW w:w="3112" w:type="dxa"/>
            <w:noWrap w:val="0"/>
            <w:vAlign w:val="center"/>
          </w:tcPr>
          <w:p w14:paraId="6936FD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危害航标及其辅助设施行为</w:t>
            </w:r>
          </w:p>
        </w:tc>
        <w:tc>
          <w:tcPr>
            <w:tcW w:w="2693" w:type="dxa"/>
            <w:noWrap w:val="0"/>
            <w:vAlign w:val="center"/>
          </w:tcPr>
          <w:p w14:paraId="0FB43D02">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非故意损坏航标及其辅助设施</w:t>
            </w:r>
            <w:r>
              <w:rPr>
                <w:rFonts w:hint="eastAsia" w:asciiTheme="minorEastAsia" w:hAnsiTheme="minorEastAsia" w:eastAsiaTheme="minorEastAsia" w:cstheme="minorEastAsia"/>
                <w:spacing w:val="-2"/>
                <w:kern w:val="0"/>
                <w:sz w:val="22"/>
                <w:szCs w:val="20"/>
                <w:lang w:eastAsia="zh-CN"/>
              </w:rPr>
              <w:t>。</w:t>
            </w:r>
          </w:p>
          <w:p w14:paraId="662B7262">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未导致事故发生</w:t>
            </w:r>
            <w:r>
              <w:rPr>
                <w:rFonts w:hint="eastAsia" w:asciiTheme="minorEastAsia" w:hAnsiTheme="minorEastAsia" w:eastAsiaTheme="minorEastAsia" w:cstheme="minorEastAsia"/>
                <w:spacing w:val="-2"/>
                <w:kern w:val="0"/>
                <w:sz w:val="22"/>
                <w:szCs w:val="20"/>
                <w:lang w:eastAsia="zh-CN"/>
              </w:rPr>
              <w:t>。</w:t>
            </w:r>
          </w:p>
          <w:p w14:paraId="28167415">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3.</w:t>
            </w:r>
            <w:r>
              <w:rPr>
                <w:rFonts w:hint="eastAsia" w:asciiTheme="minorEastAsia" w:hAnsiTheme="minorEastAsia" w:eastAsiaTheme="minorEastAsia" w:cstheme="minorEastAsia"/>
                <w:spacing w:val="-2"/>
                <w:kern w:val="0"/>
                <w:sz w:val="22"/>
                <w:szCs w:val="20"/>
              </w:rPr>
              <w:t>能及时纠正或者损坏航道航产能及时报告并足额予以赔偿的</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41BBA17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《中华人民共和国航标条例》第十五条 禁止下列危害航标的行为：（一）盗窃、哄抢或者以其他方式非法侵占航标、航标器材；（二）非法移动、攀登或者涂抹航标；（三）向航标射击或者投掷物品；（四）在航标上攀架物品，拴系牲畜、船只、渔业捕捞器具、爆炸物品等；（五）损坏航标的其他行为。</w:t>
            </w:r>
          </w:p>
          <w:p w14:paraId="10086A6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《中华人民共和国航标条例》第十六条 禁止破坏航标辅助设施的行为。前款所称航标辅助设施，是指为航标及其管理人员提供能源、水和其他所需物资而设置的各类设施，包括航标场地、直升机平台、登陆点、码头、趸船、水塔、储水池、水井、油（水）泵房、电力设施、业务用房以及专用道路、仓库等。</w:t>
            </w:r>
          </w:p>
          <w:p w14:paraId="5B32B95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《中华人民共和国航标条例》第二十二条 违反本条例第十五条、第十六条、第十七条的规定，危害航标及其辅助设施或者影响航标工作效能的，由航标管理机关责令其限期改正，给予警告，可以并处2000元以下的罚款；造成损失的，应当依法赔偿。</w:t>
            </w:r>
          </w:p>
        </w:tc>
        <w:tc>
          <w:tcPr>
            <w:tcW w:w="2017" w:type="dxa"/>
            <w:noWrap w:val="0"/>
            <w:vAlign w:val="center"/>
          </w:tcPr>
          <w:p w14:paraId="411F4A9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3E7E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E0C1D4A">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7</w:t>
            </w:r>
          </w:p>
        </w:tc>
        <w:tc>
          <w:tcPr>
            <w:tcW w:w="3112" w:type="dxa"/>
            <w:noWrap w:val="0"/>
            <w:vAlign w:val="center"/>
          </w:tcPr>
          <w:p w14:paraId="177D219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影响航标工作效能行为</w:t>
            </w:r>
          </w:p>
        </w:tc>
        <w:tc>
          <w:tcPr>
            <w:tcW w:w="2693" w:type="dxa"/>
            <w:noWrap w:val="0"/>
            <w:vAlign w:val="center"/>
          </w:tcPr>
          <w:p w14:paraId="61DC8A5D">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非故意影响航标工作效能</w:t>
            </w:r>
            <w:r>
              <w:rPr>
                <w:rFonts w:hint="eastAsia" w:asciiTheme="minorEastAsia" w:hAnsiTheme="minorEastAsia" w:eastAsiaTheme="minorEastAsia" w:cstheme="minorEastAsia"/>
                <w:spacing w:val="-2"/>
                <w:kern w:val="0"/>
                <w:sz w:val="22"/>
                <w:szCs w:val="20"/>
                <w:lang w:eastAsia="zh-CN"/>
              </w:rPr>
              <w:t>。</w:t>
            </w:r>
          </w:p>
          <w:p w14:paraId="1BA01CED">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未导致事故发生</w:t>
            </w:r>
            <w:r>
              <w:rPr>
                <w:rFonts w:hint="eastAsia" w:asciiTheme="minorEastAsia" w:hAnsiTheme="minorEastAsia" w:eastAsiaTheme="minorEastAsia" w:cstheme="minorEastAsia"/>
                <w:spacing w:val="-2"/>
                <w:kern w:val="0"/>
                <w:sz w:val="22"/>
                <w:szCs w:val="20"/>
                <w:lang w:eastAsia="zh-CN"/>
              </w:rPr>
              <w:t>。</w:t>
            </w:r>
          </w:p>
          <w:p w14:paraId="3FAB2353">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3.</w:t>
            </w:r>
            <w:r>
              <w:rPr>
                <w:rFonts w:hint="eastAsia" w:asciiTheme="minorEastAsia" w:hAnsiTheme="minorEastAsia" w:eastAsiaTheme="minorEastAsia" w:cstheme="minorEastAsia"/>
                <w:spacing w:val="-2"/>
                <w:kern w:val="0"/>
                <w:sz w:val="22"/>
                <w:szCs w:val="20"/>
              </w:rPr>
              <w:t>经警告主动消除影响，没有造成危害后果的</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41850B6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《中华人民共和国航标条例》第十七条 禁止下列影响航标工作效能的行为：（一）在航标周围20米内或者在埋有航标地下管道、线路的地面钻孔、挖坑、采掘土石、堆放物品或者进行明火作业；（二）在航标周围150米内进行爆破作业；（三）在航标周围500米内烧荒；（四）在无线电导航设施附近设置、使用影响导航设施工作效能的高频电磁辐射装置、设备；（五）在航标架空线路上附挂其他电力、通信线路；（六）在航标周围抛锚、拖锚、捕鱼或者养殖水生物；（七）影响航标工作效能的其他行为。</w:t>
            </w:r>
          </w:p>
          <w:p w14:paraId="1DC9AC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《中华人民共和国航标条例》第二十二条 违反本条例第十五条、第十六条、第十七条的规定，危害航标及其辅助设施或者影响航标工作效能的，由航标管理机关责令其限期改正，给予警告，可以并处2000元以下的罚款；造成损失的，应当依法赔偿。</w:t>
            </w:r>
          </w:p>
        </w:tc>
        <w:tc>
          <w:tcPr>
            <w:tcW w:w="2017" w:type="dxa"/>
            <w:noWrap w:val="0"/>
            <w:vAlign w:val="center"/>
          </w:tcPr>
          <w:p w14:paraId="12064E5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2D08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AE44F7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8</w:t>
            </w:r>
          </w:p>
        </w:tc>
        <w:tc>
          <w:tcPr>
            <w:tcW w:w="3112" w:type="dxa"/>
            <w:noWrap w:val="0"/>
            <w:vAlign w:val="center"/>
          </w:tcPr>
          <w:p w14:paraId="2FFEB5B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船舶在内河航行、停泊或者作业，不遵守航行、避让和信号显示规则</w:t>
            </w:r>
          </w:p>
        </w:tc>
        <w:tc>
          <w:tcPr>
            <w:tcW w:w="2693" w:type="dxa"/>
            <w:noWrap w:val="0"/>
            <w:vAlign w:val="center"/>
          </w:tcPr>
          <w:p w14:paraId="65E3F76D">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不按规定锚泊、停靠，未造成危害后果</w:t>
            </w:r>
            <w:r>
              <w:rPr>
                <w:rFonts w:hint="eastAsia" w:asciiTheme="minorEastAsia" w:hAnsiTheme="minorEastAsia" w:eastAsiaTheme="minorEastAsia" w:cstheme="minorEastAsia"/>
                <w:spacing w:val="-2"/>
                <w:kern w:val="0"/>
                <w:sz w:val="22"/>
                <w:szCs w:val="20"/>
                <w:lang w:eastAsia="zh-CN"/>
              </w:rPr>
              <w:t>。</w:t>
            </w:r>
          </w:p>
          <w:p w14:paraId="40C81C75">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经教育</w:t>
            </w:r>
            <w:r>
              <w:rPr>
                <w:rFonts w:hint="eastAsia" w:asciiTheme="minorEastAsia" w:hAnsiTheme="minorEastAsia" w:eastAsiaTheme="minorEastAsia" w:cstheme="minorEastAsia"/>
                <w:spacing w:val="-2"/>
                <w:kern w:val="0"/>
                <w:sz w:val="22"/>
                <w:szCs w:val="20"/>
                <w:lang w:eastAsia="zh-CN"/>
              </w:rPr>
              <w:t>后能</w:t>
            </w:r>
            <w:r>
              <w:rPr>
                <w:rFonts w:hint="eastAsia" w:asciiTheme="minorEastAsia" w:hAnsiTheme="minorEastAsia" w:eastAsiaTheme="minorEastAsia" w:cstheme="minorEastAsia"/>
                <w:spacing w:val="-2"/>
                <w:kern w:val="0"/>
                <w:sz w:val="22"/>
                <w:szCs w:val="20"/>
              </w:rPr>
              <w:t>及时纠正</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531EEE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《中华人民共和国内河交通安全管理条例》第十五条 船舶在内河航行，应当保持瞭望，注意观察，并采用安全航速航行。船舶安全航速应当根据能见度、通航密度、船舶操纵性能和风、浪、水流、航路状况以及周围环境等主要因素决定。使用雷达的船舶，还应当考虑雷达设备的特性、效率和局限性。船舶在限制航速的区域和汛期高水位期间，应当按照海事管理机构规定的航速航行。</w:t>
            </w:r>
          </w:p>
          <w:p w14:paraId="6416832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《中华人民共和国内河交通安全管理条例》第十六条 船舶在内河航行时，上行船舶应当沿缓流或者航路一侧航行，下行船舶应当沿主流或者航路中间航行；在潮流河段、湖泊、水库、平流区域，应当尽可能沿本船右舷一侧航路航行。</w:t>
            </w:r>
          </w:p>
          <w:p w14:paraId="084C4FB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《中华人民共和国内河交通安全管理条例》第十七条 船舶在内河航行时，应当谨慎驾驶，保障安全；对来船动态不明、声号不统一或者遇有紧迫情况时，应当减速、停车或者倒车，防止碰撞。船舶相遇，各方应当注意避让。按照船舶航行规则应当让路的船舶，必须主动避让被让路船舶；被让路船舶应当注意让路船舶的行动，并适时采取措施，协助避让。船舶避让时，各方避让意图经统一后，任何一方不得擅自改变避让行动。船舶航行、避让和信号显示的具体规则，由国务院交通主管部门制定。</w:t>
            </w:r>
          </w:p>
          <w:p w14:paraId="1D310EB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《中华人民共和国内河交通安全管理条例》第十八条 船舶进出内河港口，应当向海事管理机构报告船舶的航次计划、适航状态、船员配备和载货载客等情况。</w:t>
            </w:r>
          </w:p>
          <w:p w14:paraId="6FBA7C0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《中华人民共和国内河交通安全管理条例》第八十一条 违反本条例的规定，船舶在内河航行、停泊或者作业，不遵守航行、避让和信号显示规则的，由海事管理机构责令改正，处1000元以上1万元以下的罚款；情节严重的，对责任船员给予暂扣适任证书或者其他适任证件3个月至6个月直至吊销适任证书或者其他适任证件的处罚；造成重大内河交通事故的，依照刑法关于交通肇事罪或者其他罪的规定，依法追究刑事责任。</w:t>
            </w:r>
          </w:p>
        </w:tc>
        <w:tc>
          <w:tcPr>
            <w:tcW w:w="2017" w:type="dxa"/>
            <w:noWrap w:val="0"/>
            <w:vAlign w:val="center"/>
          </w:tcPr>
          <w:p w14:paraId="34FEF4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05F1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9B0B818">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9</w:t>
            </w:r>
          </w:p>
        </w:tc>
        <w:tc>
          <w:tcPr>
            <w:tcW w:w="3112" w:type="dxa"/>
            <w:noWrap w:val="0"/>
            <w:vAlign w:val="center"/>
          </w:tcPr>
          <w:p w14:paraId="0D79D92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未按照规定悬挂国旗，标明船名、船籍港、载重线</w:t>
            </w:r>
          </w:p>
        </w:tc>
        <w:tc>
          <w:tcPr>
            <w:tcW w:w="2693" w:type="dxa"/>
            <w:noWrap w:val="0"/>
            <w:vAlign w:val="center"/>
          </w:tcPr>
          <w:p w14:paraId="7A1ECB27">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船舶悬挂的国旗轻度污染、破旧，经批评教育及时纠正的</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3AF00B0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《中华人民共和国内河交通安全管理条例》第十四条 船舶在内河航行，应当悬挂国旗，标明船名、船籍港、载重线。</w:t>
            </w:r>
          </w:p>
          <w:p w14:paraId="570C5FF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《中华人民共和国内河交通安全管理条例》第六十八条 违反本条例的规定，船舶在内河航行时，有下列情形之一的，由海事管理机构责令改正，处5000元以上5万元以下的罚款；情节严重的，禁止船舶进出港口或者责令停航，并可以对责任船员给予暂扣适任证书或者其他适任证件3个月至6个月的处罚：（一）未按照规定悬挂国旗，标明船名、船籍港、载重线的；</w:t>
            </w:r>
          </w:p>
        </w:tc>
        <w:tc>
          <w:tcPr>
            <w:tcW w:w="2017" w:type="dxa"/>
            <w:noWrap w:val="0"/>
            <w:vAlign w:val="center"/>
          </w:tcPr>
          <w:p w14:paraId="3A77D07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3E69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A4F2C1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10</w:t>
            </w:r>
          </w:p>
        </w:tc>
        <w:tc>
          <w:tcPr>
            <w:tcW w:w="3112" w:type="dxa"/>
            <w:noWrap w:val="0"/>
            <w:vAlign w:val="center"/>
          </w:tcPr>
          <w:p w14:paraId="1EC06F3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船舶、浮动设施遇险后未履行报告义务或者不积极施救</w:t>
            </w:r>
          </w:p>
        </w:tc>
        <w:tc>
          <w:tcPr>
            <w:tcW w:w="2693" w:type="dxa"/>
            <w:noWrap w:val="0"/>
            <w:vAlign w:val="center"/>
          </w:tcPr>
          <w:p w14:paraId="73225A2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1.</w:t>
            </w:r>
            <w:r>
              <w:rPr>
                <w:rFonts w:hint="eastAsia" w:asciiTheme="minorEastAsia" w:hAnsiTheme="minorEastAsia" w:eastAsiaTheme="minorEastAsia" w:cstheme="minorEastAsia"/>
                <w:spacing w:val="-2"/>
                <w:kern w:val="0"/>
                <w:sz w:val="22"/>
                <w:szCs w:val="20"/>
              </w:rPr>
              <w:t>船舶、浮动设施遇险后未履行报告义务或不积极施救，情节轻微</w:t>
            </w:r>
            <w:r>
              <w:rPr>
                <w:rFonts w:hint="eastAsia" w:asciiTheme="minorEastAsia" w:hAnsiTheme="minorEastAsia" w:eastAsiaTheme="minorEastAsia" w:cstheme="minorEastAsia"/>
                <w:spacing w:val="-2"/>
                <w:kern w:val="0"/>
                <w:sz w:val="22"/>
                <w:szCs w:val="20"/>
                <w:lang w:eastAsia="zh-CN"/>
              </w:rPr>
              <w:t>。</w:t>
            </w:r>
          </w:p>
          <w:p w14:paraId="502F87FD">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2.</w:t>
            </w:r>
            <w:r>
              <w:rPr>
                <w:rFonts w:hint="eastAsia" w:asciiTheme="minorEastAsia" w:hAnsiTheme="minorEastAsia" w:eastAsiaTheme="minorEastAsia" w:cstheme="minorEastAsia"/>
                <w:spacing w:val="-2"/>
                <w:kern w:val="0"/>
                <w:sz w:val="22"/>
                <w:szCs w:val="20"/>
              </w:rPr>
              <w:t>未造成危害后果的</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7A6FAA8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《中华人民共和国内河交通安全管理条例》第四十六条 船舶、浮动设施遇险，应当采取一切有效措施进行自救。船舶、浮动设施发生碰撞等事故，任何一方应当在不危及自身安全的情况下，积极救助遇险的他方，不得逃逸。船舶、浮动设施遇险，必须迅速将遇险的时间、地点、遇险状况、遇险原因、救助要求，向遇险地海事管理机构以及船舶、浮动设施所有人、经营人报告。</w:t>
            </w:r>
          </w:p>
          <w:p w14:paraId="2FD563F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《中华人民共和国内河交通安全管理条例》第四十七条 船员、浮动设施上的工作人员或者其他人员发现其他船舶、浮动设施遇险，或者收到求救信号后，必须尽力救助遇险人员，并将有关情况及时向遇险地海事管理机构报告。</w:t>
            </w:r>
          </w:p>
          <w:p w14:paraId="5CBE63C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《江苏省水上搜寻救助条例》第二十一条 船舶、设施、航空器及其人员在水上发生险情时，应当迅速将遇险的时间、地点、状况及原因、救助要求等信息，向险情发生地水上搜救中心或者海事管理机构报告。任何单位和个人发现或者获悉船舶、设施、航空器及其人员在水上发生险情时，应当立即向当地水上搜救中心或者海事管理机构报告，并设法与遇险者联系。任何单位和个人不得谎报或者故意夸大水上险情。</w:t>
            </w:r>
          </w:p>
        </w:tc>
        <w:tc>
          <w:tcPr>
            <w:tcW w:w="2017" w:type="dxa"/>
            <w:noWrap w:val="0"/>
            <w:vAlign w:val="center"/>
          </w:tcPr>
          <w:p w14:paraId="480E377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2110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CE4546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11</w:t>
            </w:r>
          </w:p>
        </w:tc>
        <w:tc>
          <w:tcPr>
            <w:tcW w:w="3112" w:type="dxa"/>
            <w:noWrap w:val="0"/>
            <w:vAlign w:val="center"/>
          </w:tcPr>
          <w:p w14:paraId="7825841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对毁坏、污损、覆盖公共汽车客运服务设施的处罚</w:t>
            </w:r>
          </w:p>
        </w:tc>
        <w:tc>
          <w:tcPr>
            <w:tcW w:w="2693" w:type="dxa"/>
            <w:noWrap w:val="0"/>
            <w:vAlign w:val="center"/>
          </w:tcPr>
          <w:p w14:paraId="5D99F56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1.初次被发现。</w:t>
            </w:r>
          </w:p>
          <w:p w14:paraId="6275EE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2.未造成影响公共交通正常运行等危害后果。</w:t>
            </w:r>
          </w:p>
          <w:p w14:paraId="3437EBE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3.违法行为中不存在拒不接受执法部门调查处理、阻碍执法、煽动抗拒执法等妨碍执行公务的行为。</w:t>
            </w:r>
          </w:p>
          <w:p w14:paraId="2B3FCA1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4.能立即恢复原状或足额赔偿的。</w:t>
            </w:r>
          </w:p>
        </w:tc>
        <w:tc>
          <w:tcPr>
            <w:tcW w:w="5812" w:type="dxa"/>
            <w:noWrap w:val="0"/>
            <w:vAlign w:val="center"/>
          </w:tcPr>
          <w:p w14:paraId="6BFAA5D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《苏州市公共汽车客运管理条例》第十七条第三款 禁止毁坏、污损、覆盖公共汽车客运服务设施。第五十三条 违反本条例第十七条第二款、第三款规定，擅自迁移、拆除、侵占、关闭公共汽车客运服务设施，或者毁坏、污损、覆盖公共汽车客运服务设施的，由交通运输主管部门责令限期改正，对损坏的设施依法赔偿，并对个人处以二百元以上一千元以下的罚款，对单位处以五百元以上五千元以下的罚款。构成犯罪的，依法追究刑事责任。</w:t>
            </w:r>
          </w:p>
        </w:tc>
        <w:tc>
          <w:tcPr>
            <w:tcW w:w="2017" w:type="dxa"/>
            <w:noWrap w:val="0"/>
            <w:vAlign w:val="center"/>
          </w:tcPr>
          <w:p w14:paraId="10B8CC6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207E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F98E3C7">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12</w:t>
            </w:r>
          </w:p>
        </w:tc>
        <w:tc>
          <w:tcPr>
            <w:tcW w:w="3112" w:type="dxa"/>
            <w:noWrap w:val="0"/>
            <w:vAlign w:val="center"/>
          </w:tcPr>
          <w:p w14:paraId="1E1F82C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对未建立投诉受理制度或者未依法处理乘客投诉的处罚</w:t>
            </w:r>
          </w:p>
        </w:tc>
        <w:tc>
          <w:tcPr>
            <w:tcW w:w="2693" w:type="dxa"/>
            <w:noWrap w:val="0"/>
            <w:vAlign w:val="center"/>
          </w:tcPr>
          <w:p w14:paraId="49B1A30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1.初次被发现。</w:t>
            </w:r>
          </w:p>
          <w:p w14:paraId="44BF996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2.不存在不落实举报投诉的情况，未造成乘客举报投诉及媒体负面报道等危害后果。</w:t>
            </w:r>
          </w:p>
          <w:p w14:paraId="2940FC3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3.违法行为中不存在拒不接受执法部门调查处理、阻碍执法、煽动抗拒执法等妨碍执行公务的行为。</w:t>
            </w:r>
          </w:p>
          <w:p w14:paraId="15943B6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4.在规定期限内改正的。</w:t>
            </w:r>
          </w:p>
        </w:tc>
        <w:tc>
          <w:tcPr>
            <w:tcW w:w="5812" w:type="dxa"/>
            <w:noWrap w:val="0"/>
            <w:vAlign w:val="center"/>
          </w:tcPr>
          <w:p w14:paraId="3BD41B9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《苏州市轨道交通条例》第三十三条  交通运输主管部门和轨道交通经营单位应当建立投诉受理制度，接受乘客对运营服务质量的投诉。轨道交通经营单位应当自收到投诉之日起十个工作日内作出答复。对答复有异议或者轨道交通经营单位未答复的，乘客可以向交通运输主管部门申诉。</w:t>
            </w:r>
          </w:p>
          <w:p w14:paraId="6BA494E9">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第五十二条  轨道交通经营单位有下列行为之一的，由交通运输主管部门责令改正，可以处以二千元以上一万元以下罚款；情节严重的，处以一万元以上五万元以下罚款：（四）违反本条例第三十三条第一款、第二款规定，未建立投诉受理制度或者未依法处理乘客投诉的</w:t>
            </w:r>
            <w:r>
              <w:rPr>
                <w:rFonts w:hint="eastAsia" w:asciiTheme="minorEastAsia" w:hAnsiTheme="minorEastAsia" w:eastAsiaTheme="minorEastAsia" w:cstheme="minorEastAsia"/>
                <w:spacing w:val="-2"/>
                <w:kern w:val="0"/>
                <w:sz w:val="22"/>
                <w:szCs w:val="20"/>
                <w:lang w:eastAsia="zh-CN"/>
              </w:rPr>
              <w:t>。</w:t>
            </w:r>
          </w:p>
        </w:tc>
        <w:tc>
          <w:tcPr>
            <w:tcW w:w="2017" w:type="dxa"/>
            <w:noWrap w:val="0"/>
            <w:vAlign w:val="center"/>
          </w:tcPr>
          <w:p w14:paraId="3FB803B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5115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856D6C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13</w:t>
            </w:r>
          </w:p>
        </w:tc>
        <w:tc>
          <w:tcPr>
            <w:tcW w:w="3112" w:type="dxa"/>
            <w:noWrap w:val="0"/>
            <w:vAlign w:val="center"/>
          </w:tcPr>
          <w:p w14:paraId="12AE479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对经营者未如实填报出租汽车行业统计报表，并按时上报的处罚</w:t>
            </w:r>
          </w:p>
        </w:tc>
        <w:tc>
          <w:tcPr>
            <w:tcW w:w="2693" w:type="dxa"/>
            <w:noWrap w:val="0"/>
            <w:vAlign w:val="center"/>
          </w:tcPr>
          <w:p w14:paraId="5958E65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1.初次被发现。</w:t>
            </w:r>
          </w:p>
          <w:p w14:paraId="06BA4A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2.违法行为中不存在拒不接受执法部门调查处理、阻碍执法、煽动抗拒执法等妨碍执行公务的行为。</w:t>
            </w:r>
          </w:p>
          <w:p w14:paraId="1F3CC67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3.按执法部门要求在规定期限内改正的。</w:t>
            </w:r>
          </w:p>
        </w:tc>
        <w:tc>
          <w:tcPr>
            <w:tcW w:w="5812" w:type="dxa"/>
            <w:noWrap w:val="0"/>
            <w:vAlign w:val="center"/>
          </w:tcPr>
          <w:p w14:paraId="7A93876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《苏州市客运出租汽车管理办法》第十九条 经营者应当如实填报出租汽车行业统计报表，并按时上报。</w:t>
            </w:r>
          </w:p>
          <w:p w14:paraId="0F7C290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《苏州市客运出租汽车管理办法》第三十七条 出租汽车经营者违反本办法第十九条规定的，视其情节轻重，由道路运输管理机构予以警告，并处500元以上1000元以下罚款。</w:t>
            </w:r>
          </w:p>
        </w:tc>
        <w:tc>
          <w:tcPr>
            <w:tcW w:w="2017" w:type="dxa"/>
            <w:noWrap w:val="0"/>
            <w:vAlign w:val="center"/>
          </w:tcPr>
          <w:p w14:paraId="76B240C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7FBF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2AE6ED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14</w:t>
            </w:r>
          </w:p>
        </w:tc>
        <w:tc>
          <w:tcPr>
            <w:tcW w:w="3112" w:type="dxa"/>
            <w:noWrap w:val="0"/>
            <w:vAlign w:val="center"/>
          </w:tcPr>
          <w:p w14:paraId="2B46010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对客运车辆未按照规定悬挂营运标志牌的处罚</w:t>
            </w:r>
          </w:p>
        </w:tc>
        <w:tc>
          <w:tcPr>
            <w:tcW w:w="2693" w:type="dxa"/>
            <w:noWrap w:val="0"/>
            <w:vAlign w:val="center"/>
          </w:tcPr>
          <w:p w14:paraId="0AC73D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1.初次被发现。</w:t>
            </w:r>
          </w:p>
          <w:p w14:paraId="3040881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p>
          <w:p w14:paraId="7A404C4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3.能立即改正或能出示标志牌相关证明材料的。</w:t>
            </w:r>
          </w:p>
        </w:tc>
        <w:tc>
          <w:tcPr>
            <w:tcW w:w="5812" w:type="dxa"/>
            <w:noWrap w:val="0"/>
            <w:vAlign w:val="center"/>
          </w:tcPr>
          <w:p w14:paraId="58F15C9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《苏州市道路运输条例》第三十五条违反本条例规定，客货运输、运输辅助业经营者有下列情形之一的，由道路运输管理机构责令改正，处以一千元以上三千元以下的罚款：</w:t>
            </w:r>
          </w:p>
          <w:p w14:paraId="1AF8937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（三）客运车辆未按照规定悬挂营运标志牌的；</w:t>
            </w:r>
          </w:p>
        </w:tc>
        <w:tc>
          <w:tcPr>
            <w:tcW w:w="2017" w:type="dxa"/>
            <w:noWrap w:val="0"/>
            <w:vAlign w:val="center"/>
          </w:tcPr>
          <w:p w14:paraId="6BC9E5F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635A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DA2343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15</w:t>
            </w:r>
          </w:p>
        </w:tc>
        <w:tc>
          <w:tcPr>
            <w:tcW w:w="3112" w:type="dxa"/>
            <w:noWrap w:val="0"/>
            <w:vAlign w:val="center"/>
          </w:tcPr>
          <w:p w14:paraId="184664E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对在公路及公路用地范围内摆摊设点、堆放物品，影响公路畅通的处罚</w:t>
            </w:r>
          </w:p>
        </w:tc>
        <w:tc>
          <w:tcPr>
            <w:tcW w:w="2693" w:type="dxa"/>
            <w:noWrap w:val="0"/>
            <w:vAlign w:val="center"/>
          </w:tcPr>
          <w:p w14:paraId="7650411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3.按执法部门要求立即清除摆摊设点和堆放物品。</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4.该行为未造成公路路产损坏，未造成交通拥堵或引发交通事故等危害后果。</w:t>
            </w:r>
          </w:p>
        </w:tc>
        <w:tc>
          <w:tcPr>
            <w:tcW w:w="5812" w:type="dxa"/>
            <w:noWrap w:val="0"/>
            <w:vAlign w:val="center"/>
          </w:tcPr>
          <w:p w14:paraId="7FD0729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《中华人民共和国公路法》第四十六条 任何单位和个人不得在公路上及公路用地范围内摆摊设点、堆放物品、倾倒垃圾、设置障碍、挖沟引水、利用公路边沟排放污物或者进行其他损坏、污染公路和影响公路畅通的活动。</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第七十七条 违反本法第四十六条规定，造成公路损坏、污染或影响公路畅通的，或者违反本法第五十一条规定，将公路作为试车场地的，由交通运输主管部门责令停止违法行为，可以处五千元以下罚款。</w:t>
            </w:r>
          </w:p>
        </w:tc>
        <w:tc>
          <w:tcPr>
            <w:tcW w:w="2017" w:type="dxa"/>
            <w:noWrap w:val="0"/>
            <w:vAlign w:val="center"/>
          </w:tcPr>
          <w:p w14:paraId="3CFE619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1ECD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07A67CC">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16</w:t>
            </w:r>
          </w:p>
        </w:tc>
        <w:tc>
          <w:tcPr>
            <w:tcW w:w="3112" w:type="dxa"/>
            <w:noWrap w:val="0"/>
            <w:vAlign w:val="center"/>
          </w:tcPr>
          <w:p w14:paraId="28CF580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对将公路作为试车场地的处罚</w:t>
            </w:r>
          </w:p>
        </w:tc>
        <w:tc>
          <w:tcPr>
            <w:tcW w:w="2693" w:type="dxa"/>
            <w:noWrap w:val="0"/>
            <w:vAlign w:val="center"/>
          </w:tcPr>
          <w:p w14:paraId="27F268E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3.立即停止实施违法行为，按执法部门要求驶离公路。</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4.未造成交通拥堵、公路路产损坏，未引发交通事故等危害后果。</w:t>
            </w:r>
          </w:p>
        </w:tc>
        <w:tc>
          <w:tcPr>
            <w:tcW w:w="5812" w:type="dxa"/>
            <w:noWrap w:val="0"/>
            <w:vAlign w:val="center"/>
          </w:tcPr>
          <w:p w14:paraId="190DBE1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《中华人民共和国公路法》第五十一条 机动车制造厂和其他单位不得将公路作为检验机动车制动性的试车场地。</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第七十七条 违反本法第四十六条规定，造成公路损坏、污染或影响公路畅通的，或者违反本法第五十一条规定，将公路作为试车场地的，由交通运输主管部门责令停止违法行为，可以处五千元以下罚款。</w:t>
            </w:r>
          </w:p>
        </w:tc>
        <w:tc>
          <w:tcPr>
            <w:tcW w:w="2017" w:type="dxa"/>
            <w:noWrap w:val="0"/>
            <w:vAlign w:val="center"/>
          </w:tcPr>
          <w:p w14:paraId="54E2AD6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6175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E0B7AA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17</w:t>
            </w:r>
          </w:p>
        </w:tc>
        <w:tc>
          <w:tcPr>
            <w:tcW w:w="3112" w:type="dxa"/>
            <w:noWrap w:val="0"/>
            <w:vAlign w:val="center"/>
          </w:tcPr>
          <w:p w14:paraId="2AD9B53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对在公路建筑控制区内修建建筑物、地面构筑物的处罚</w:t>
            </w:r>
          </w:p>
        </w:tc>
        <w:tc>
          <w:tcPr>
            <w:tcW w:w="2693" w:type="dxa"/>
            <w:noWrap w:val="0"/>
            <w:vAlign w:val="center"/>
          </w:tcPr>
          <w:p w14:paraId="4D613ED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3.修建建筑物、构筑物的施工行为处于初始阶段（设施面积在10平方米以下）。</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4.按执法部门要求立即停止修建行为，并立即或在规定的期限内清理拆除违法修建的建筑物和构筑物、恢复原状。</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5.未发生倾覆、倒塌等事故。</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6.未影响公路本身安全、完好和畅通。</w:t>
            </w:r>
          </w:p>
        </w:tc>
        <w:tc>
          <w:tcPr>
            <w:tcW w:w="5812" w:type="dxa"/>
            <w:noWrap w:val="0"/>
            <w:vAlign w:val="center"/>
          </w:tcPr>
          <w:p w14:paraId="31AAEE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《中华人民共和国公路法》第五十六条 除公路防护、养护需要的以外，禁止在公路两侧的建筑控制区内修建建筑物和地面构筑物；需要在建筑控制区内增设管线、电缆等设施的，应当事先经县级以上地方人民政府交通主管部门批准。</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第八十一条 违反本法第五十六条规定，在公路建筑控制区内修建建筑物、地面构筑物或者擅自埋设管线、电缆等设施的，由交通主管部门责令限期拆除，并可以处五万元以下的罚款。逾期不拆除的，由交通主管部门拆除，有关费用由建筑者、构筑者承担。</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《公路安全保护条例》第五十六条 违反本条例的规定，有下列情形之一的，由公路管理机构责令限期拆除，可以处 5 万元以下的罚款。逾期不拆除的，由公路管理机构拆除，有关费用由违法行为人承担：（一）在公路建筑控制区内修建、扩建建筑物、地面构筑物或者未经许可埋设管道、电缆等设施的。</w:t>
            </w:r>
          </w:p>
        </w:tc>
        <w:tc>
          <w:tcPr>
            <w:tcW w:w="2017" w:type="dxa"/>
            <w:noWrap w:val="0"/>
            <w:vAlign w:val="center"/>
          </w:tcPr>
          <w:p w14:paraId="38CDDEF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2541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16270A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18</w:t>
            </w:r>
          </w:p>
        </w:tc>
        <w:tc>
          <w:tcPr>
            <w:tcW w:w="3112" w:type="dxa"/>
            <w:noWrap w:val="0"/>
            <w:vAlign w:val="center"/>
          </w:tcPr>
          <w:p w14:paraId="61A3CB0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对未经许可利用跨越公路的设施悬挂非公路标志的处罚</w:t>
            </w:r>
          </w:p>
        </w:tc>
        <w:tc>
          <w:tcPr>
            <w:tcW w:w="2693" w:type="dxa"/>
            <w:noWrap w:val="0"/>
            <w:vAlign w:val="center"/>
          </w:tcPr>
          <w:p w14:paraId="6274212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3.已按执法部门要求清理（拆除）违法悬挂的非公路标志。</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4.未发生悬挂的非公路标志脱落、跌落、坠落等情况。</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5.未造成交通事故、交通拥堵、损坏公路路产等危害后果。</w:t>
            </w:r>
          </w:p>
        </w:tc>
        <w:tc>
          <w:tcPr>
            <w:tcW w:w="5812" w:type="dxa"/>
            <w:noWrap w:val="0"/>
            <w:vAlign w:val="center"/>
          </w:tcPr>
          <w:p w14:paraId="132AA3A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《公路安全保护条例》第二十七条 进行下列涉路施工活动，建设单位应当向公路管理机构提出申请：（五）利用跨越公路的设施悬挂非公路标志。</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第六十二条 违反本条例的规定，未经许可进行本条例第二十七条第一项至第五项规定的涉路施工活动的，由公路管理机构责令改正，可以处3万元以下的罚款；未经许可进行本条例第二十七条第六项规定的涉路施工活动的，由公路管理机构责令改正，处5万元以下的罚款。</w:t>
            </w:r>
          </w:p>
        </w:tc>
        <w:tc>
          <w:tcPr>
            <w:tcW w:w="2017" w:type="dxa"/>
            <w:noWrap w:val="0"/>
            <w:vAlign w:val="center"/>
          </w:tcPr>
          <w:p w14:paraId="02EEF8B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7D48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9F7A66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19</w:t>
            </w:r>
          </w:p>
        </w:tc>
        <w:tc>
          <w:tcPr>
            <w:tcW w:w="3112" w:type="dxa"/>
            <w:noWrap w:val="0"/>
            <w:vAlign w:val="center"/>
          </w:tcPr>
          <w:p w14:paraId="14A8D37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对出租汽车经营者不按照规定建立并落实投诉举报制度的处罚</w:t>
            </w:r>
          </w:p>
        </w:tc>
        <w:tc>
          <w:tcPr>
            <w:tcW w:w="2693" w:type="dxa"/>
            <w:noWrap w:val="0"/>
            <w:vAlign w:val="center"/>
          </w:tcPr>
          <w:p w14:paraId="3414F45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3.未造成乘客举报投诉及媒体负面报道等危害后果。</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4.在规定期限内改正的。</w:t>
            </w:r>
          </w:p>
        </w:tc>
        <w:tc>
          <w:tcPr>
            <w:tcW w:w="5812" w:type="dxa"/>
            <w:noWrap w:val="0"/>
            <w:vAlign w:val="center"/>
          </w:tcPr>
          <w:p w14:paraId="79AB371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《巡游出租汽车经营服务管理规定》第二十九条 巡游出租汽车经营者应当自觉接受社会监督，公布服务监督电话，指定部门或者人员受理投诉。巡游出租汽车经营者应当建立24小时服务投诉值班制度，接到乘客投诉后，应当及时受理，10日内处理完毕，并将处理结果告知乘客。                                                          </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第四十七条 巡游出租汽车经营者违反本规定，有下列行为之一的，由县级以上地方人民政府出租汽车行政主管部门责令改正，并处以5000元以上10000元以下罚款。构成犯罪的，依法追究刑事责任：（六）不按照规定建立并落实投诉举报制度的。</w:t>
            </w:r>
          </w:p>
        </w:tc>
        <w:tc>
          <w:tcPr>
            <w:tcW w:w="2017" w:type="dxa"/>
            <w:noWrap w:val="0"/>
            <w:vAlign w:val="center"/>
          </w:tcPr>
          <w:p w14:paraId="780C4F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2AD9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03F13A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20</w:t>
            </w:r>
          </w:p>
        </w:tc>
        <w:tc>
          <w:tcPr>
            <w:tcW w:w="3112" w:type="dxa"/>
            <w:noWrap w:val="0"/>
            <w:vAlign w:val="center"/>
          </w:tcPr>
          <w:p w14:paraId="63B624A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对网约车平台公司未按照规定制定服务质量标准的处罚</w:t>
            </w:r>
          </w:p>
        </w:tc>
        <w:tc>
          <w:tcPr>
            <w:tcW w:w="2693" w:type="dxa"/>
            <w:noWrap w:val="0"/>
            <w:vAlign w:val="center"/>
          </w:tcPr>
          <w:p w14:paraId="3FFF56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3.未因不制定服务质量标准导致服务质量低下，未造成乘客举报投诉及媒体负面报道等危害后果。</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4.在规定期限内改正的。</w:t>
            </w:r>
          </w:p>
        </w:tc>
        <w:tc>
          <w:tcPr>
            <w:tcW w:w="5812" w:type="dxa"/>
            <w:noWrap w:val="0"/>
            <w:vAlign w:val="center"/>
          </w:tcPr>
          <w:p w14:paraId="5662373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《网络预约出租汽车经营服务管理暂行办法》第三十五条 网约车平台公司违反本规定，有下列行为之一的，由县级以上出租汽车行政主管部门和价格主管部门按照职责责令改正，对每次违法行为处以 5000 元以上 10000元以下罚款；情节严重的，处以 10000 元以上 30000 元以下罚款：（六）未按照规定制定服务质量标准、建立并落实投诉举报制度的。</w:t>
            </w:r>
          </w:p>
        </w:tc>
        <w:tc>
          <w:tcPr>
            <w:tcW w:w="2017" w:type="dxa"/>
            <w:noWrap w:val="0"/>
            <w:vAlign w:val="center"/>
          </w:tcPr>
          <w:p w14:paraId="00020C4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431D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5CAC9E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21</w:t>
            </w:r>
          </w:p>
        </w:tc>
        <w:tc>
          <w:tcPr>
            <w:tcW w:w="3112" w:type="dxa"/>
            <w:noWrap w:val="0"/>
            <w:vAlign w:val="center"/>
          </w:tcPr>
          <w:p w14:paraId="640A6E5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对网约车平台公司未按照规定建立并落实投诉举报制度的处罚</w:t>
            </w:r>
          </w:p>
        </w:tc>
        <w:tc>
          <w:tcPr>
            <w:tcW w:w="2693" w:type="dxa"/>
            <w:noWrap w:val="0"/>
            <w:vAlign w:val="center"/>
          </w:tcPr>
          <w:p w14:paraId="5FEEB11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3.不存在不落实乘客举报投诉的情况，未造成媒体负面报道等危害后果。</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4.在规定期限内改正的。</w:t>
            </w:r>
          </w:p>
        </w:tc>
        <w:tc>
          <w:tcPr>
            <w:tcW w:w="5812" w:type="dxa"/>
            <w:noWrap w:val="0"/>
            <w:vAlign w:val="center"/>
          </w:tcPr>
          <w:p w14:paraId="71F633B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《网络预约出租汽车经营服务管理暂行办法》第三十五条 网约车平台公司违反本规定，有下列行为之一的，由县级以上出租汽车行政主管部门和价格主管部门按照职责责令改正，对每次违法行为处以5000元以上10000元以下罚款；情节严重的，处以10000元以上30000元以下罚款：（六）未按照规定制定服务质量标准、建立并落实投诉举报制度的。</w:t>
            </w:r>
          </w:p>
        </w:tc>
        <w:tc>
          <w:tcPr>
            <w:tcW w:w="2017" w:type="dxa"/>
            <w:noWrap w:val="0"/>
            <w:vAlign w:val="center"/>
          </w:tcPr>
          <w:p w14:paraId="08BF67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1066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2C07747">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2</w:t>
            </w: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7E70D4F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未取得《网络预约出租汽车运输证》，擅自从事网约车经营活动。</w:t>
            </w:r>
          </w:p>
        </w:tc>
        <w:tc>
          <w:tcPr>
            <w:tcW w:w="2693" w:type="dxa"/>
            <w:noWrap w:val="0"/>
            <w:vAlign w:val="center"/>
          </w:tcPr>
          <w:p w14:paraId="00EB607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3.现场执法检查时，车上无乘客，有历史接单记录，且历史接单记录近三个月，月均少于10单的。</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4.未造成乘客举报投诉及媒体负面报道等危害后果。                                          </w:t>
            </w:r>
          </w:p>
        </w:tc>
        <w:tc>
          <w:tcPr>
            <w:tcW w:w="5812" w:type="dxa"/>
            <w:noWrap w:val="0"/>
            <w:vAlign w:val="center"/>
          </w:tcPr>
          <w:p w14:paraId="30BF1A0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《网络预约出租汽车经营服务管理暂行办法》第十二条 拟从事网约车经营的车辆，应当符合以下条件：（一）7座及以下乘用车；（二）安装具有行驶记录功能的车辆卫星定位装置、应急报警装置；（三）车辆技术性能符合运营安全相关标准要求。</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车辆的具体标准和营运要求，由相应的出租汽车行政主管部门，按照高品质服务、差异化经营的发展原则，结合本地实际情况确定。</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第十三条 服务所在地出租汽车行政主管部门依车辆所有人或者网约车平台公司申请，按第十二条规定的条件审核后，对符合条件并登记为预约出租客运的车辆，发放《网络预约出租汽车运输证》。</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第三十四条 违反本规定，擅自从事或者变相从事网约车经营活动，有下列行为之一的，由县级以上出租汽车行政主管部门责令改正，予以警告，并按照以下规定分别予以罚款；构成犯罪的，依法追究刑事责任：（二）未取得《网络预约出租汽车运输证》的，对当事人处以3000元以上10000元以下罚款。                                                                                                                           </w:t>
            </w:r>
          </w:p>
        </w:tc>
        <w:tc>
          <w:tcPr>
            <w:tcW w:w="2017" w:type="dxa"/>
            <w:noWrap w:val="0"/>
            <w:vAlign w:val="center"/>
          </w:tcPr>
          <w:p w14:paraId="6DA9588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51F9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AADFC1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23</w:t>
            </w:r>
          </w:p>
        </w:tc>
        <w:tc>
          <w:tcPr>
            <w:tcW w:w="3112" w:type="dxa"/>
            <w:noWrap w:val="0"/>
            <w:vAlign w:val="center"/>
          </w:tcPr>
          <w:p w14:paraId="2DCFF2E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未按照规定参加年度审验</w:t>
            </w:r>
          </w:p>
        </w:tc>
        <w:tc>
          <w:tcPr>
            <w:tcW w:w="2693" w:type="dxa"/>
            <w:noWrap w:val="0"/>
            <w:vAlign w:val="center"/>
          </w:tcPr>
          <w:p w14:paraId="7A1703F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1.年度审验有效期届满6个月内；</w:t>
            </w:r>
          </w:p>
          <w:p w14:paraId="63A09C4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2.车辆技术等级达标，评定正常；</w:t>
            </w:r>
          </w:p>
          <w:p w14:paraId="6C6E306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3.截止目前违章已处理完毕；</w:t>
            </w:r>
          </w:p>
          <w:p w14:paraId="42AA07F8">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val="en-US" w:eastAsia="zh-CN"/>
              </w:rPr>
              <w:t>4.</w:t>
            </w:r>
            <w:r>
              <w:rPr>
                <w:rFonts w:hint="eastAsia" w:asciiTheme="minorEastAsia" w:hAnsiTheme="minorEastAsia" w:eastAsiaTheme="minorEastAsia" w:cstheme="minorEastAsia"/>
                <w:spacing w:val="-2"/>
                <w:kern w:val="0"/>
                <w:sz w:val="22"/>
                <w:szCs w:val="20"/>
              </w:rPr>
              <w:t>没有造成危害后果的</w:t>
            </w:r>
            <w:r>
              <w:rPr>
                <w:rFonts w:hint="eastAsia" w:asciiTheme="minorEastAsia" w:hAnsiTheme="minorEastAsia" w:eastAsiaTheme="minorEastAsia" w:cstheme="minorEastAsia"/>
                <w:spacing w:val="-2"/>
                <w:kern w:val="0"/>
                <w:sz w:val="22"/>
                <w:szCs w:val="20"/>
                <w:lang w:eastAsia="zh-CN"/>
              </w:rPr>
              <w:t>；</w:t>
            </w:r>
          </w:p>
          <w:p w14:paraId="038A6EB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5.主动申请年度审验</w:t>
            </w:r>
            <w:r>
              <w:rPr>
                <w:rFonts w:hint="eastAsia" w:asciiTheme="minorEastAsia" w:hAnsiTheme="minorEastAsia" w:eastAsiaTheme="minorEastAsia" w:cstheme="minorEastAsia"/>
                <w:spacing w:val="-2"/>
                <w:kern w:val="0"/>
                <w:sz w:val="22"/>
                <w:szCs w:val="20"/>
                <w:lang w:eastAsia="zh-CN"/>
              </w:rPr>
              <w:t>。</w:t>
            </w:r>
          </w:p>
        </w:tc>
        <w:tc>
          <w:tcPr>
            <w:tcW w:w="5812" w:type="dxa"/>
            <w:noWrap w:val="0"/>
            <w:vAlign w:val="center"/>
          </w:tcPr>
          <w:p w14:paraId="68EC6BF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《苏州市道路运输条例》第三十二条</w:t>
            </w:r>
            <w:r>
              <w:rPr>
                <w:rFonts w:hint="eastAsia" w:asciiTheme="minorEastAsia" w:hAnsiTheme="minorEastAsia" w:eastAsiaTheme="minorEastAsia" w:cstheme="minorEastAsia"/>
                <w:spacing w:val="-2"/>
                <w:kern w:val="0"/>
                <w:sz w:val="22"/>
                <w:szCs w:val="20"/>
                <w:lang w:val="en-US" w:eastAsia="zh-CN"/>
              </w:rPr>
              <w:t xml:space="preserve"> </w:t>
            </w:r>
            <w:r>
              <w:rPr>
                <w:rFonts w:hint="eastAsia" w:asciiTheme="minorEastAsia" w:hAnsiTheme="minorEastAsia" w:eastAsiaTheme="minorEastAsia" w:cstheme="minorEastAsia"/>
                <w:spacing w:val="-2"/>
                <w:kern w:val="0"/>
                <w:sz w:val="22"/>
                <w:szCs w:val="20"/>
              </w:rPr>
              <w:t>道路运输管理机构应当对客货运输经营者的经营条件以及车辆实行年度审验。审验不合格的，道路运输管理机构应当责令限期整改，整改期间不得从事相关经营活动。整改不合格或者超过一年未参加年度审验的，原发证机关应当注销其相应的道路运输经营许可证件、道路运输证件。</w:t>
            </w:r>
          </w:p>
          <w:p w14:paraId="29985BD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《苏州市道路运输条例》第四十二条</w:t>
            </w:r>
            <w:r>
              <w:rPr>
                <w:rFonts w:hint="eastAsia" w:asciiTheme="minorEastAsia" w:hAnsiTheme="minorEastAsia" w:eastAsiaTheme="minorEastAsia" w:cstheme="minorEastAsia"/>
                <w:spacing w:val="-2"/>
                <w:kern w:val="0"/>
                <w:sz w:val="22"/>
                <w:szCs w:val="20"/>
                <w:lang w:val="en-US" w:eastAsia="zh-CN"/>
              </w:rPr>
              <w:t xml:space="preserve"> </w:t>
            </w:r>
            <w:r>
              <w:rPr>
                <w:rFonts w:hint="eastAsia" w:asciiTheme="minorEastAsia" w:hAnsiTheme="minorEastAsia" w:eastAsiaTheme="minorEastAsia" w:cstheme="minorEastAsia"/>
                <w:spacing w:val="-2"/>
                <w:kern w:val="0"/>
                <w:sz w:val="22"/>
                <w:szCs w:val="20"/>
              </w:rPr>
              <w:t>违反本条例规定，客货运输经营者的车辆未按照规定参加年度审验，由道路运输管理机构责令改正，处以一千元以上三千元以下的罚款。</w:t>
            </w:r>
          </w:p>
        </w:tc>
        <w:tc>
          <w:tcPr>
            <w:tcW w:w="2017" w:type="dxa"/>
            <w:noWrap w:val="0"/>
            <w:vAlign w:val="center"/>
          </w:tcPr>
          <w:p w14:paraId="02F890F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6DF1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18AA523">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2</w:t>
            </w: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447CCB1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对未依法报送航道通航条件影响评价材料开工建设的处罚</w:t>
            </w:r>
          </w:p>
        </w:tc>
        <w:tc>
          <w:tcPr>
            <w:tcW w:w="2693" w:type="dxa"/>
            <w:noWrap w:val="0"/>
            <w:vAlign w:val="center"/>
          </w:tcPr>
          <w:p w14:paraId="62B664A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3.经责令及时停止建设，在限期内补办手续。</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4.与航道有关的工程建设未明显降低航道通航条件。</w:t>
            </w:r>
          </w:p>
        </w:tc>
        <w:tc>
          <w:tcPr>
            <w:tcW w:w="5812" w:type="dxa"/>
            <w:noWrap w:val="0"/>
            <w:vAlign w:val="center"/>
          </w:tcPr>
          <w:p w14:paraId="2FC20A4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《中华人民共和国航道法》第三十九条 建设单位未依法报送航道通航条件影响评价材料而开工建设的，由有审核权的交通运输主管部门或者航道管理机构责令停止建设，限期补办手续，处三万元以下的罚款；逾期不补办手续继续建设的，由有审核权的交通运输主管部门或者航道管理机构责令恢复原状，处二十万元以上五十万元以下的罚款。</w:t>
            </w:r>
          </w:p>
        </w:tc>
        <w:tc>
          <w:tcPr>
            <w:tcW w:w="2017" w:type="dxa"/>
            <w:noWrap w:val="0"/>
            <w:vAlign w:val="center"/>
          </w:tcPr>
          <w:p w14:paraId="1ED5503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37FA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2569B40">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2</w:t>
            </w:r>
            <w:r>
              <w:rPr>
                <w:rFonts w:hint="eastAsia" w:asciiTheme="minorEastAsia" w:hAnsiTheme="minorEastAsia" w:eastAsiaTheme="minorEastAsia" w:cstheme="minorEastAsia"/>
                <w:spacing w:val="-2"/>
                <w:kern w:val="0"/>
                <w:sz w:val="22"/>
                <w:szCs w:val="20"/>
                <w:lang w:val="en-US" w:eastAsia="zh-CN"/>
              </w:rPr>
              <w:t>5</w:t>
            </w:r>
          </w:p>
        </w:tc>
        <w:tc>
          <w:tcPr>
            <w:tcW w:w="3112" w:type="dxa"/>
            <w:noWrap w:val="0"/>
            <w:vAlign w:val="center"/>
          </w:tcPr>
          <w:p w14:paraId="5F01D85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对过闸船舶未按规定向通航建筑物运行单位如实提供过闸信息的处罚</w:t>
            </w:r>
          </w:p>
        </w:tc>
        <w:tc>
          <w:tcPr>
            <w:tcW w:w="2693" w:type="dxa"/>
            <w:noWrap w:val="0"/>
            <w:vAlign w:val="center"/>
          </w:tcPr>
          <w:p w14:paraId="771524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3.未造成水路交通拥堵、影响通航秩序等危害后果。</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4.过闸船舶属于普通货物运输船舶；且未夹带、谎报、匿报危险货物。</w:t>
            </w:r>
          </w:p>
        </w:tc>
        <w:tc>
          <w:tcPr>
            <w:tcW w:w="5812" w:type="dxa"/>
            <w:noWrap w:val="0"/>
            <w:vAlign w:val="center"/>
          </w:tcPr>
          <w:p w14:paraId="5FBAA9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《通航建筑物运行管理办法》第三十九条 过闸船舶未按照规定向运行单位如实提供过闸信息的，由负责航道管理的部门责令改正，处1000元以上1万元以下的罚款。</w:t>
            </w:r>
          </w:p>
        </w:tc>
        <w:tc>
          <w:tcPr>
            <w:tcW w:w="2017" w:type="dxa"/>
            <w:noWrap w:val="0"/>
            <w:vAlign w:val="center"/>
          </w:tcPr>
          <w:p w14:paraId="278B52C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13AC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9FE3983">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26</w:t>
            </w:r>
          </w:p>
        </w:tc>
        <w:tc>
          <w:tcPr>
            <w:tcW w:w="3112" w:type="dxa"/>
            <w:noWrap w:val="0"/>
            <w:vAlign w:val="center"/>
          </w:tcPr>
          <w:p w14:paraId="2C1023A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对未将船舶识别号在船体上永久标记或者粘贴的处罚</w:t>
            </w:r>
          </w:p>
        </w:tc>
        <w:tc>
          <w:tcPr>
            <w:tcW w:w="2693" w:type="dxa"/>
            <w:noWrap w:val="0"/>
            <w:vAlign w:val="center"/>
          </w:tcPr>
          <w:p w14:paraId="3FD335B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3.已按执法部门要求在船体上永久标记（粘贴）船舶识别号。</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4.未造成危害后果。</w:t>
            </w:r>
          </w:p>
        </w:tc>
        <w:tc>
          <w:tcPr>
            <w:tcW w:w="5812" w:type="dxa"/>
            <w:noWrap w:val="0"/>
            <w:vAlign w:val="center"/>
          </w:tcPr>
          <w:p w14:paraId="413254B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《中华人民共和国船舶识别号管理规定》第八条 新建船舶的识别号应当永久性标记在机器处所主推进动力装置尾轴附近的船体内侧。没有主推进动力装置的，标记在船舶检验机构指定的位置。</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第十四条 未按本规定取得船舶识别号或者未将船舶识别号在船体上永久标记或者粘贴的，由海事管理机构责令改正，并可处3000元以上3万元以下的罚款。</w:t>
            </w:r>
          </w:p>
        </w:tc>
        <w:tc>
          <w:tcPr>
            <w:tcW w:w="2017" w:type="dxa"/>
            <w:noWrap w:val="0"/>
            <w:vAlign w:val="center"/>
          </w:tcPr>
          <w:p w14:paraId="5852652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0B24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B17FF4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2</w:t>
            </w:r>
            <w:r>
              <w:rPr>
                <w:rFonts w:hint="eastAsia" w:asciiTheme="minorEastAsia" w:hAnsiTheme="minorEastAsia" w:eastAsiaTheme="minorEastAsia" w:cstheme="minorEastAsia"/>
                <w:spacing w:val="-2"/>
                <w:kern w:val="0"/>
                <w:sz w:val="22"/>
                <w:szCs w:val="20"/>
                <w:lang w:val="en-US" w:eastAsia="zh-CN"/>
              </w:rPr>
              <w:t>7</w:t>
            </w:r>
          </w:p>
        </w:tc>
        <w:tc>
          <w:tcPr>
            <w:tcW w:w="3112" w:type="dxa"/>
            <w:noWrap w:val="0"/>
            <w:vAlign w:val="center"/>
          </w:tcPr>
          <w:p w14:paraId="15455D7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《垃圾记录簿》《油类记录簿》或《压载水记录簿》漏记或错记的处罚</w:t>
            </w:r>
          </w:p>
        </w:tc>
        <w:tc>
          <w:tcPr>
            <w:tcW w:w="2693" w:type="dxa"/>
            <w:noWrap w:val="0"/>
            <w:vAlign w:val="center"/>
          </w:tcPr>
          <w:p w14:paraId="2D1B70E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1.《垃圾记录簿》《油类记录簿》或《压载水记录簿》漏记或错记。</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3.漏记、错记的事项不超过2个。漏记的事项，能证明按规定进行排放作业且污染物去向合法；错记的事项，仅限于事项位置填写错误。</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4.违法行为涉及的航次未发生污染事故。</w:t>
            </w:r>
          </w:p>
        </w:tc>
        <w:tc>
          <w:tcPr>
            <w:tcW w:w="5812" w:type="dxa"/>
            <w:noWrap w:val="0"/>
            <w:vAlign w:val="center"/>
          </w:tcPr>
          <w:p w14:paraId="2455487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《中华人民共和国水污染防治法》第六十条第二款 船舶进行涉及污染物排放的作业，应当严格遵守操作规程，并在相应的记录簿上如实记载。</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第八十九条第二款 船舶进行涉及污染物排放的作业，未遵守操作规程或者未在相应的记录簿上如实记载的，由海事管理机构、渔业主管部门按照职责分工责令改正，处二千元以上二万元以下的罚款。</w:t>
            </w:r>
          </w:p>
        </w:tc>
        <w:tc>
          <w:tcPr>
            <w:tcW w:w="2017" w:type="dxa"/>
            <w:noWrap w:val="0"/>
            <w:vAlign w:val="center"/>
          </w:tcPr>
          <w:p w14:paraId="11C9354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0387E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34C147A">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2</w:t>
            </w:r>
            <w:r>
              <w:rPr>
                <w:rFonts w:hint="eastAsia" w:asciiTheme="minorEastAsia" w:hAnsiTheme="minorEastAsia" w:eastAsiaTheme="minorEastAsia" w:cstheme="minorEastAsia"/>
                <w:spacing w:val="-2"/>
                <w:kern w:val="0"/>
                <w:sz w:val="22"/>
                <w:szCs w:val="20"/>
                <w:lang w:val="en-US" w:eastAsia="zh-CN"/>
              </w:rPr>
              <w:t>8</w:t>
            </w:r>
          </w:p>
        </w:tc>
        <w:tc>
          <w:tcPr>
            <w:tcW w:w="3112" w:type="dxa"/>
            <w:noWrap w:val="0"/>
            <w:vAlign w:val="center"/>
          </w:tcPr>
          <w:p w14:paraId="5F3EBC6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国内航行船舶进出港口、港外装卸站未依法向海事管理机构报告</w:t>
            </w:r>
          </w:p>
        </w:tc>
        <w:tc>
          <w:tcPr>
            <w:tcW w:w="2693" w:type="dxa"/>
            <w:noWrap w:val="0"/>
            <w:vAlign w:val="center"/>
          </w:tcPr>
          <w:p w14:paraId="26E454C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1.国内航行船舶进出港口、港外装卸站，船舶报告信息不准确或者报告时间不符合规定。</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3.不存在故意谎报瞒报、隐瞒船舶违法事实或者逃避海事监管行为的。</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4.船舶已经报告进出港信息，符合下列情形之一：</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（1）船舶航次动态信息（限码头泊位或停泊位置、拟进出港时间、进出港船舶首/尾吃水）填报错误；</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（2）航程或在港时间4小时以上的，提前2小时以上不足4小时报告；或提前24小时以上不足36小时报告的。</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5.未影响船舶管理秩序，未发生事故或险情。</w:t>
            </w:r>
          </w:p>
        </w:tc>
        <w:tc>
          <w:tcPr>
            <w:tcW w:w="5812" w:type="dxa"/>
            <w:noWrap w:val="0"/>
            <w:vAlign w:val="center"/>
          </w:tcPr>
          <w:p w14:paraId="5E17C9A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《中华人民共和国内河交通安全管理条例》第六十八条 违反本条例的规定，船舶在内河航行时，有下列情形之一的，由海事管理机构责令改正，处5000元以上5万元以下的罚款；情节严重的，禁止船舶进出港口或者责令停航，并可以对责任船员给予暂扣适任证书或者其他适任证件3个月至6个月的处罚：（二）未按照规定向海事管理机构报告船舶的航次计划、适航状态、船员配备和载货载客等情况的。</w:t>
            </w:r>
          </w:p>
        </w:tc>
        <w:tc>
          <w:tcPr>
            <w:tcW w:w="2017" w:type="dxa"/>
            <w:noWrap w:val="0"/>
            <w:vAlign w:val="center"/>
          </w:tcPr>
          <w:p w14:paraId="63CEC5F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06A3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DBB238F">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2</w:t>
            </w:r>
            <w:r>
              <w:rPr>
                <w:rFonts w:hint="eastAsia" w:asciiTheme="minorEastAsia" w:hAnsiTheme="minorEastAsia" w:eastAsiaTheme="minorEastAsia" w:cstheme="minorEastAsia"/>
                <w:spacing w:val="-2"/>
                <w:kern w:val="0"/>
                <w:sz w:val="22"/>
                <w:szCs w:val="20"/>
                <w:lang w:val="en-US" w:eastAsia="zh-CN"/>
              </w:rPr>
              <w:t>9</w:t>
            </w:r>
          </w:p>
        </w:tc>
        <w:tc>
          <w:tcPr>
            <w:tcW w:w="3112" w:type="dxa"/>
            <w:noWrap w:val="0"/>
            <w:vAlign w:val="center"/>
          </w:tcPr>
          <w:p w14:paraId="649E6D8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对不能提供本航次船舶污染物接收凭证的处罚</w:t>
            </w:r>
          </w:p>
        </w:tc>
        <w:tc>
          <w:tcPr>
            <w:tcW w:w="2693" w:type="dxa"/>
            <w:noWrap w:val="0"/>
            <w:vAlign w:val="center"/>
          </w:tcPr>
          <w:p w14:paraId="01FF504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2.无本航次船舶污染物接收凭证但能提供污染物送交电子记录的。</w:t>
            </w:r>
          </w:p>
        </w:tc>
        <w:tc>
          <w:tcPr>
            <w:tcW w:w="5812" w:type="dxa"/>
            <w:noWrap w:val="0"/>
            <w:vAlign w:val="center"/>
          </w:tcPr>
          <w:p w14:paraId="3199EAD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《江苏省内河水域船舶污染防治条例》第十二条</w:t>
            </w:r>
            <w:r>
              <w:rPr>
                <w:rFonts w:hint="eastAsia" w:asciiTheme="minorEastAsia" w:hAnsiTheme="minorEastAsia" w:eastAsiaTheme="minorEastAsia" w:cstheme="minorEastAsia"/>
                <w:spacing w:val="-2"/>
                <w:kern w:val="0"/>
                <w:sz w:val="22"/>
                <w:szCs w:val="20"/>
                <w:lang w:eastAsia="zh-CN"/>
              </w:rPr>
              <w:t>第一款</w:t>
            </w:r>
            <w:r>
              <w:rPr>
                <w:rFonts w:hint="eastAsia" w:asciiTheme="minorEastAsia" w:hAnsiTheme="minorEastAsia" w:eastAsiaTheme="minorEastAsia" w:cstheme="minorEastAsia"/>
                <w:spacing w:val="-2"/>
                <w:kern w:val="0"/>
                <w:sz w:val="22"/>
                <w:szCs w:val="20"/>
              </w:rPr>
              <w:t xml:space="preserve"> 船舶污染物应当集中送交港口、码头、船闸、水上服务区或者船舶污染物专业接收单位接收。</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第二十一条 船舶应当按照国家规定在相应的记录簿上如实记载船舶污染物的送交情况，并妥善保管好本航次船舶污染物接收凭证，以备检查。</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第三十一条 违反本条例第十二条第一款、第二十一条规定，不能提供本航次船舶污染物接收凭证的，由海事管理机构给予警告，可以并处五十元以上五百元以下的罚款。</w:t>
            </w:r>
          </w:p>
        </w:tc>
        <w:tc>
          <w:tcPr>
            <w:tcW w:w="2017" w:type="dxa"/>
            <w:noWrap w:val="0"/>
            <w:vAlign w:val="center"/>
          </w:tcPr>
          <w:p w14:paraId="16B4F61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34D6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FCD0BF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30</w:t>
            </w:r>
          </w:p>
        </w:tc>
        <w:tc>
          <w:tcPr>
            <w:tcW w:w="3112" w:type="dxa"/>
            <w:noWrap w:val="0"/>
            <w:vAlign w:val="center"/>
          </w:tcPr>
          <w:p w14:paraId="1A490EC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对水路旅客运输代理、货物运输代理业务经营者未履行备案义务或者报告义务行为的处罚</w:t>
            </w:r>
          </w:p>
        </w:tc>
        <w:tc>
          <w:tcPr>
            <w:tcW w:w="2693" w:type="dxa"/>
            <w:noWrap w:val="0"/>
            <w:vAlign w:val="center"/>
          </w:tcPr>
          <w:p w14:paraId="72B3ECB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2.不属于未报告船舶发生重大以上安全和污染责任事故的情形。</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3.已按执法部门要求补充完成备案或报告义务。</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4.未造成其他危害后果的。</w:t>
            </w:r>
          </w:p>
        </w:tc>
        <w:tc>
          <w:tcPr>
            <w:tcW w:w="5812" w:type="dxa"/>
            <w:noWrap w:val="0"/>
            <w:vAlign w:val="center"/>
          </w:tcPr>
          <w:p w14:paraId="2CC0C0C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《国内水路运输辅助业管理规定》第三十六条 水路运输辅助业务经营者违反本规定，有下列行为之一的，由其所在地县级以上人民政府水路运输管理部门责令改正，处2000元以上1万元以下的罚款；一年内累计三次以上违反本规定的，处1万元以上3万元以下的罚款：（一）未履行备案或者报告义务。</w:t>
            </w:r>
          </w:p>
        </w:tc>
        <w:tc>
          <w:tcPr>
            <w:tcW w:w="2017" w:type="dxa"/>
            <w:noWrap w:val="0"/>
            <w:vAlign w:val="center"/>
          </w:tcPr>
          <w:p w14:paraId="5701D6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7B38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3E0959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3</w:t>
            </w:r>
            <w:r>
              <w:rPr>
                <w:rFonts w:hint="eastAsia" w:asciiTheme="minorEastAsia" w:hAnsiTheme="minorEastAsia" w:eastAsiaTheme="minorEastAsia" w:cstheme="minorEastAsia"/>
                <w:spacing w:val="-2"/>
                <w:kern w:val="0"/>
                <w:sz w:val="22"/>
                <w:szCs w:val="20"/>
                <w:lang w:val="en-US" w:eastAsia="zh-CN"/>
              </w:rPr>
              <w:t>1</w:t>
            </w:r>
          </w:p>
        </w:tc>
        <w:tc>
          <w:tcPr>
            <w:tcW w:w="3112" w:type="dxa"/>
            <w:noWrap w:val="0"/>
            <w:vAlign w:val="center"/>
          </w:tcPr>
          <w:p w14:paraId="3D9B8EB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对触碰航标不报告的处罚</w:t>
            </w:r>
          </w:p>
        </w:tc>
        <w:tc>
          <w:tcPr>
            <w:tcW w:w="2693" w:type="dxa"/>
            <w:noWrap w:val="0"/>
            <w:vAlign w:val="center"/>
          </w:tcPr>
          <w:p w14:paraId="1055E2B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3.未造成水上交通事故。</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4.未影响航标效能。</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5.造成损失的，依法承担赔偿责任或及时修复航标。</w:t>
            </w:r>
          </w:p>
        </w:tc>
        <w:tc>
          <w:tcPr>
            <w:tcW w:w="5812" w:type="dxa"/>
            <w:noWrap w:val="0"/>
            <w:vAlign w:val="center"/>
          </w:tcPr>
          <w:p w14:paraId="06D514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《中华人民共和国航标条例》第二十一条 船舶违反本条例第十四条第二款的规定，触碰航标不报告的，航标管理机关可以根据情节处以2万元以下的罚款；造成损失的，应当依法赔偿。</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《内河航标管理办法》第五十一条 对违反本办法第四十五条规定造成航标损毁的，应按损失情况赔偿，航标管理机构可以视情节轻重，给予2万元以下的罚款；造成事故的要承担法律责任。</w:t>
            </w:r>
          </w:p>
        </w:tc>
        <w:tc>
          <w:tcPr>
            <w:tcW w:w="2017" w:type="dxa"/>
            <w:noWrap w:val="0"/>
            <w:vAlign w:val="center"/>
          </w:tcPr>
          <w:p w14:paraId="2D1AE80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17BB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F32641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3</w:t>
            </w: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341E6BC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对水路运输企业未按规定报送从业人员信息的处罚</w:t>
            </w:r>
          </w:p>
        </w:tc>
        <w:tc>
          <w:tcPr>
            <w:tcW w:w="2693" w:type="dxa"/>
            <w:noWrap w:val="0"/>
            <w:vAlign w:val="center"/>
          </w:tcPr>
          <w:p w14:paraId="772C35C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3.已按执法部门要求完成从业人员信息报送。</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4.不存在提供虚假信息的情况。</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5.相关从业人员配备及资质符合法律法规规定，未因此产生危害后果。</w:t>
            </w:r>
          </w:p>
        </w:tc>
        <w:tc>
          <w:tcPr>
            <w:tcW w:w="5812" w:type="dxa"/>
            <w:noWrap w:val="0"/>
            <w:vAlign w:val="center"/>
          </w:tcPr>
          <w:p w14:paraId="028DF0B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《危险货物水路运输从业人员考核和从业资格管理规定》</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第二十五条 水路运输企业应当将本单位的装卸管理人员、申报员、检查员的以下信息及时报送具有相应职责的管理部门，装卸管理人员信息报送港口所在地港口行政管理部门，申报员、检查员信息报送所在地海事管理机构：（一）被聘用从业人员的有效身份证明复印件；（二）被聘用从业人员的《资格证书》编号；（三）被聘用从业人员的从业区域；（四）解聘从业人员的姓名、有效身份证明证号和《资格证书》编号。</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第二十八条 未按本规定第二十五条报送信息的，分别由所在地港口行政管理部门或者海事管理机构按照职责分工责令限期改正，可以处1000元以下罚款；提供虚假信息或者1年之内多次未报送信息的，处以3000元以上1万元以下的罚款。</w:t>
            </w:r>
          </w:p>
        </w:tc>
        <w:tc>
          <w:tcPr>
            <w:tcW w:w="2017" w:type="dxa"/>
            <w:noWrap w:val="0"/>
            <w:vAlign w:val="center"/>
          </w:tcPr>
          <w:p w14:paraId="01FB27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471D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F8BDBD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3</w:t>
            </w: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6E84113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对不将资格预审文件、招标文件和招标投标情况的书面报告备案的处罚</w:t>
            </w:r>
          </w:p>
        </w:tc>
        <w:tc>
          <w:tcPr>
            <w:tcW w:w="2693" w:type="dxa"/>
            <w:noWrap w:val="0"/>
            <w:vAlign w:val="center"/>
          </w:tcPr>
          <w:p w14:paraId="6F25C6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3.未因不报告备案造成危害后果。</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4.在规定期限内改正的。</w:t>
            </w:r>
          </w:p>
        </w:tc>
        <w:tc>
          <w:tcPr>
            <w:tcW w:w="5812" w:type="dxa"/>
            <w:noWrap w:val="0"/>
            <w:vAlign w:val="center"/>
          </w:tcPr>
          <w:p w14:paraId="6E6E946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《公路工程建设项目招标投标管理办法》第十七条 招标人应当按照省级人民政府交通运输主管部门的规定，将资格预审文件及其澄清、修改，招标文件及其澄清、修改报相应的交通运输主管部门备案。</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第五十五条 依法必须进行招标的公路工程建设项目，招标人应当自确定中标人之日起15日内，将招标投标情况的书面报告报对该项目具有招标监督职责的交通运输主管部门备案。</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第六十八条 招标人有下列情形之一的，由交通运输主管部门责令改正，可以处三万元以下的罚款：（二）不按照本办法规定将资格预审文件、招标文件和招标投标情况的书面报告备案的。</w:t>
            </w:r>
          </w:p>
        </w:tc>
        <w:tc>
          <w:tcPr>
            <w:tcW w:w="2017" w:type="dxa"/>
            <w:noWrap w:val="0"/>
            <w:vAlign w:val="center"/>
          </w:tcPr>
          <w:p w14:paraId="00CBDE9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06E2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2129DC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3</w:t>
            </w: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059179A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对交通运输领域建设单位未按照国家规定办理工程质量监督手续的行政处罚</w:t>
            </w:r>
          </w:p>
        </w:tc>
        <w:tc>
          <w:tcPr>
            <w:tcW w:w="2693" w:type="dxa"/>
            <w:noWrap w:val="0"/>
            <w:vAlign w:val="center"/>
          </w:tcPr>
          <w:p w14:paraId="2C4673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eastAsia="zh-CN"/>
              </w:rPr>
              <w:t>初次被发现</w:t>
            </w:r>
            <w:r>
              <w:rPr>
                <w:rFonts w:hint="eastAsia" w:asciiTheme="minorEastAsia" w:hAnsiTheme="minorEastAsia" w:eastAsiaTheme="minorEastAsia" w:cstheme="minorEastAsia"/>
                <w:spacing w:val="-2"/>
                <w:kern w:val="0"/>
                <w:sz w:val="22"/>
                <w:szCs w:val="20"/>
              </w:rPr>
              <w:t>。</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2.违法行为调查过程中，不存在拒不接受执法部门调查处理、阻碍执法、煽动抗拒执法等妨碍执行公务的行为。</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3.未造成其他危害后果。</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4.主动申请补办完成质量监督手续办理。</w:t>
            </w:r>
          </w:p>
        </w:tc>
        <w:tc>
          <w:tcPr>
            <w:tcW w:w="5812" w:type="dxa"/>
            <w:noWrap w:val="0"/>
            <w:vAlign w:val="center"/>
          </w:tcPr>
          <w:p w14:paraId="694B08E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《建设工程质量管理条例》第十三条 建设单位在开工前，应当按照国家有关规定办理工程质量监督手续，工程质量监督手续可以与施工许可证或者开工报告合并办理。</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第五十六条 违反本条例规定，建设单位有下列行为之一的，责令改正，处20万元以上50万元以下的罚款：（六）未按照国家规定办理工程质量监督手续的。</w:t>
            </w:r>
          </w:p>
        </w:tc>
        <w:tc>
          <w:tcPr>
            <w:tcW w:w="2017" w:type="dxa"/>
            <w:noWrap w:val="0"/>
            <w:vAlign w:val="center"/>
          </w:tcPr>
          <w:p w14:paraId="33E799B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72C6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0" w:hRule="atLeast"/>
        </w:trPr>
        <w:tc>
          <w:tcPr>
            <w:tcW w:w="432" w:type="dxa"/>
            <w:noWrap w:val="0"/>
            <w:vAlign w:val="center"/>
          </w:tcPr>
          <w:p w14:paraId="5CBE56B0">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p>
        </w:tc>
        <w:tc>
          <w:tcPr>
            <w:tcW w:w="3112" w:type="dxa"/>
            <w:noWrap w:val="0"/>
            <w:vAlign w:val="center"/>
          </w:tcPr>
          <w:p w14:paraId="5FDE79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未经批准擅自取水的</w:t>
            </w:r>
          </w:p>
        </w:tc>
        <w:tc>
          <w:tcPr>
            <w:tcW w:w="2693" w:type="dxa"/>
            <w:noWrap w:val="0"/>
            <w:vAlign w:val="center"/>
          </w:tcPr>
          <w:p w14:paraId="1CF7F13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同时具备以下条件：①首次违法；②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；③立即停止取水，补办手续并被批准或拆除取水设施；④取用地表水取水能力每小时10立方以下，或者取水量3000吨以下；⑤取用浅层地下水取水能力每小时5立方以下，或者取水量500吨以下</w:t>
            </w:r>
            <w:r>
              <w:rPr>
                <w:rFonts w:hint="eastAsia" w:asciiTheme="minorEastAsia" w:hAnsiTheme="minorEastAsia" w:eastAsiaTheme="minorEastAsia" w:cstheme="minorEastAsia"/>
                <w:spacing w:val="-2"/>
                <w:kern w:val="0"/>
                <w:sz w:val="22"/>
                <w:szCs w:val="20"/>
                <w:lang w:eastAsia="zh-CN"/>
              </w:rPr>
              <w:t>；⑥</w:t>
            </w:r>
            <w:r>
              <w:rPr>
                <w:rFonts w:hint="eastAsia" w:asciiTheme="minorEastAsia" w:hAnsiTheme="minorEastAsia" w:eastAsiaTheme="minorEastAsia" w:cstheme="minorEastAsia"/>
                <w:spacing w:val="-2"/>
                <w:kern w:val="0"/>
                <w:sz w:val="22"/>
                <w:szCs w:val="20"/>
              </w:rPr>
              <w:t>主动补缴水资源费。</w:t>
            </w:r>
          </w:p>
        </w:tc>
        <w:tc>
          <w:tcPr>
            <w:tcW w:w="5812" w:type="dxa"/>
            <w:vMerge w:val="restart"/>
            <w:noWrap w:val="0"/>
            <w:vAlign w:val="center"/>
          </w:tcPr>
          <w:p w14:paraId="28157B0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《中华人民共和国水法》第六十九条  有下列行为之一的，由县级以上人民政府水行政主管部门或者流域管理机构依据职权，责令停止违法行为，限期采取补救措施，处二万元以上十万元以下的罚款；情节严重的，吊销其取水许可证：</w:t>
            </w:r>
          </w:p>
          <w:p w14:paraId="70F965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（一）</w:t>
            </w:r>
            <w:r>
              <w:rPr>
                <w:rFonts w:hint="eastAsia" w:asciiTheme="minorEastAsia" w:hAnsiTheme="minorEastAsia" w:eastAsiaTheme="minorEastAsia" w:cstheme="minorEastAsia"/>
                <w:spacing w:val="-2"/>
                <w:kern w:val="0"/>
                <w:sz w:val="22"/>
                <w:szCs w:val="20"/>
              </w:rPr>
              <w:t>未经批准擅自取水的；</w:t>
            </w:r>
          </w:p>
          <w:p w14:paraId="4FAC50F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（二）未依照批准的取水许可规定条件取水的。</w:t>
            </w:r>
          </w:p>
        </w:tc>
        <w:tc>
          <w:tcPr>
            <w:tcW w:w="2017" w:type="dxa"/>
            <w:noWrap w:val="0"/>
            <w:vAlign w:val="center"/>
          </w:tcPr>
          <w:p w14:paraId="123CB43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县级以上人民政府水行政主管部门或者流域管理机构</w:t>
            </w:r>
          </w:p>
        </w:tc>
      </w:tr>
      <w:tr w14:paraId="7CEB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 w:hRule="atLeast"/>
        </w:trPr>
        <w:tc>
          <w:tcPr>
            <w:tcW w:w="432" w:type="dxa"/>
            <w:noWrap w:val="0"/>
            <w:vAlign w:val="center"/>
          </w:tcPr>
          <w:p w14:paraId="627A29B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1312B14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未依照批准的取水许可规定条件取水的</w:t>
            </w:r>
          </w:p>
        </w:tc>
        <w:tc>
          <w:tcPr>
            <w:tcW w:w="2693" w:type="dxa"/>
            <w:noWrap w:val="0"/>
            <w:vAlign w:val="center"/>
          </w:tcPr>
          <w:p w14:paraId="0439CE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同时具备以下条件：①首次违法；②违法行为调查过程中，不存在拒不接受执法部门调查处理、阻碍执法、偏动抗拒执法等妨碍执行公务的行为；③立即停止违反规定条件取水行为的。</w:t>
            </w:r>
          </w:p>
        </w:tc>
        <w:tc>
          <w:tcPr>
            <w:tcW w:w="5812" w:type="dxa"/>
            <w:vMerge w:val="continue"/>
            <w:noWrap w:val="0"/>
            <w:vAlign w:val="center"/>
          </w:tcPr>
          <w:p w14:paraId="24127C4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017" w:type="dxa"/>
            <w:noWrap w:val="0"/>
            <w:vAlign w:val="center"/>
          </w:tcPr>
          <w:p w14:paraId="0BC620C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县级以上人民政府水行政主管部门或者流域管理机构</w:t>
            </w:r>
          </w:p>
        </w:tc>
      </w:tr>
      <w:tr w14:paraId="6D92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 w:hRule="atLeast"/>
        </w:trPr>
        <w:tc>
          <w:tcPr>
            <w:tcW w:w="432" w:type="dxa"/>
            <w:noWrap w:val="0"/>
            <w:vAlign w:val="center"/>
          </w:tcPr>
          <w:p w14:paraId="573D899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383A2A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未取得取水申请批准文件擅自建设取水工程或者设施，逾期不拆除或者不封闭其取水工程或者设施的</w:t>
            </w:r>
          </w:p>
        </w:tc>
        <w:tc>
          <w:tcPr>
            <w:tcW w:w="2693" w:type="dxa"/>
            <w:noWrap w:val="0"/>
            <w:vAlign w:val="center"/>
          </w:tcPr>
          <w:p w14:paraId="2562967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同时具备以下条件：①经责令立即停止违法行为；②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；③在规定的期限内补办手续，或者执行拆除、封闭其取水工程或者设施的；④未产生危害后果。</w:t>
            </w:r>
          </w:p>
        </w:tc>
        <w:tc>
          <w:tcPr>
            <w:tcW w:w="5812" w:type="dxa"/>
            <w:noWrap w:val="0"/>
            <w:vAlign w:val="center"/>
          </w:tcPr>
          <w:p w14:paraId="1F911E2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《取水许可和水资源费征收管理条例》第四十九条  未取得取水申请批准文件擅自建设取水工程或者设施的，责令停止违法行为，限期补办有关手续；逾期不补办或者补办未被批准的，责令限期拆除或者封闭其取水工程或者设施；逾期不拆除或者不封闭其取水工程或者设施的，由县级以上地方人民政府水行政主管部门或者流域管理机构组织拆除或者封闭，所需费用由违法行为人承担，可以处5万元以下罚款。</w:t>
            </w:r>
          </w:p>
        </w:tc>
        <w:tc>
          <w:tcPr>
            <w:tcW w:w="2017" w:type="dxa"/>
            <w:noWrap w:val="0"/>
            <w:vAlign w:val="center"/>
          </w:tcPr>
          <w:p w14:paraId="75D2000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县级以上地方人民政府水行政主管部门或者流域管理机构</w:t>
            </w:r>
          </w:p>
        </w:tc>
      </w:tr>
      <w:tr w14:paraId="600D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 w:hRule="atLeast"/>
        </w:trPr>
        <w:tc>
          <w:tcPr>
            <w:tcW w:w="432" w:type="dxa"/>
            <w:noWrap w:val="0"/>
            <w:vAlign w:val="center"/>
          </w:tcPr>
          <w:p w14:paraId="6ABB4007">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437C945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不按照规定报送年度取水情况的</w:t>
            </w:r>
          </w:p>
        </w:tc>
        <w:tc>
          <w:tcPr>
            <w:tcW w:w="2693" w:type="dxa"/>
            <w:noWrap w:val="0"/>
            <w:vAlign w:val="center"/>
          </w:tcPr>
          <w:p w14:paraId="13C7339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同时具备以下条件：①初次被发现；②在水行政主管部门规定的期限内及时补报的；③</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w:t>
            </w:r>
          </w:p>
        </w:tc>
        <w:tc>
          <w:tcPr>
            <w:tcW w:w="5812" w:type="dxa"/>
            <w:noWrap w:val="0"/>
            <w:vAlign w:val="center"/>
          </w:tcPr>
          <w:p w14:paraId="3DE9952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《取水许可和水资源费征收管理条例》第五十二条  有下列行为之一的，责令停止违法行为，限期改正，处5000元以上2万元以下罚款；情节严重的，吊销取水许可证：</w:t>
            </w:r>
          </w:p>
          <w:p w14:paraId="160E487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（一）不按照规定报送年度取水情况的</w:t>
            </w:r>
          </w:p>
        </w:tc>
        <w:tc>
          <w:tcPr>
            <w:tcW w:w="2017" w:type="dxa"/>
            <w:noWrap w:val="0"/>
            <w:vAlign w:val="center"/>
          </w:tcPr>
          <w:p w14:paraId="469BFF9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县级以上地方人民政府水行政主管部门或者流域管理机构</w:t>
            </w:r>
          </w:p>
        </w:tc>
      </w:tr>
      <w:tr w14:paraId="1C30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607AD88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5</w:t>
            </w:r>
          </w:p>
        </w:tc>
        <w:tc>
          <w:tcPr>
            <w:tcW w:w="3112" w:type="dxa"/>
            <w:noWrap w:val="0"/>
            <w:vAlign w:val="center"/>
          </w:tcPr>
          <w:p w14:paraId="1DBB578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计量设施不合格或者运行不正常的</w:t>
            </w:r>
          </w:p>
        </w:tc>
        <w:tc>
          <w:tcPr>
            <w:tcW w:w="2693" w:type="dxa"/>
            <w:noWrap w:val="0"/>
            <w:vAlign w:val="center"/>
          </w:tcPr>
          <w:p w14:paraId="00CC5B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同时具备以下条件：①无主观过错的；②逾期不超过10日更换或修复的；③</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w:t>
            </w:r>
          </w:p>
        </w:tc>
        <w:tc>
          <w:tcPr>
            <w:tcW w:w="5812" w:type="dxa"/>
            <w:noWrap w:val="0"/>
            <w:vAlign w:val="center"/>
          </w:tcPr>
          <w:p w14:paraId="5EE266C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《取水许可和水资源费征收管理条例》第五十三条  计量设施不合格或者运行不正常的，责令限期更换或者修复；逾期不更换或者不修复的，按照日最大取水能力计算的取水量和水资源费征收标准计征水资源费，可以处1万元以下罚款；情节严重的，吊销取水许可证。</w:t>
            </w:r>
          </w:p>
        </w:tc>
        <w:tc>
          <w:tcPr>
            <w:tcW w:w="2017" w:type="dxa"/>
            <w:noWrap w:val="0"/>
            <w:vAlign w:val="center"/>
          </w:tcPr>
          <w:p w14:paraId="2A985B8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县级以上地方人民政府水行政主管部门或者流域管理机构</w:t>
            </w:r>
          </w:p>
        </w:tc>
      </w:tr>
      <w:tr w14:paraId="3FA1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0ADF782F">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6</w:t>
            </w:r>
          </w:p>
        </w:tc>
        <w:tc>
          <w:tcPr>
            <w:tcW w:w="3112" w:type="dxa"/>
            <w:noWrap w:val="0"/>
            <w:vAlign w:val="center"/>
          </w:tcPr>
          <w:p w14:paraId="5BF0474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防洪工程设施未经验收，即将建设项目投入生产或者使用的</w:t>
            </w:r>
          </w:p>
        </w:tc>
        <w:tc>
          <w:tcPr>
            <w:tcW w:w="2693" w:type="dxa"/>
            <w:noWrap w:val="0"/>
            <w:vAlign w:val="center"/>
          </w:tcPr>
          <w:p w14:paraId="1CFA1B2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同时具备以下条件：①经责令停止生产或者使用；②在规定的期限内通过验收的；③</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w:t>
            </w:r>
          </w:p>
        </w:tc>
        <w:tc>
          <w:tcPr>
            <w:tcW w:w="5812" w:type="dxa"/>
            <w:noWrap w:val="0"/>
            <w:vAlign w:val="center"/>
          </w:tcPr>
          <w:p w14:paraId="366F362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《中华人民共和国防洪法》第五十八条  违反本法第三十三条第二款规定，防洪工程设施未经验收，即将建设项目投入生产或者使用的，责令停止生产或者使用，限期验收防洪工程设施，可以处五万元以下的罚款。</w:t>
            </w:r>
          </w:p>
        </w:tc>
        <w:tc>
          <w:tcPr>
            <w:tcW w:w="2017" w:type="dxa"/>
            <w:noWrap w:val="0"/>
            <w:vAlign w:val="center"/>
          </w:tcPr>
          <w:p w14:paraId="79C4E51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县级以上地方人民政府水行政主管部门或者流域管理机构</w:t>
            </w:r>
          </w:p>
        </w:tc>
      </w:tr>
      <w:tr w14:paraId="64F8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1736A5BF">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lang w:val="en-US" w:eastAsia="zh-CN"/>
              </w:rPr>
              <w:t>7</w:t>
            </w:r>
          </w:p>
        </w:tc>
        <w:tc>
          <w:tcPr>
            <w:tcW w:w="3112" w:type="dxa"/>
            <w:noWrap w:val="0"/>
            <w:vAlign w:val="center"/>
          </w:tcPr>
          <w:p w14:paraId="1841894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在湖泊湖荡内圈圩养殖的</w:t>
            </w:r>
          </w:p>
        </w:tc>
        <w:tc>
          <w:tcPr>
            <w:tcW w:w="2693" w:type="dxa"/>
            <w:noWrap w:val="0"/>
            <w:vAlign w:val="center"/>
          </w:tcPr>
          <w:p w14:paraId="797142B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同时具备以下条件：①违法圈圩刚刚开始；②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；③在规定期限内停止违法行为、完全恢复原状，未产生危害后果。</w:t>
            </w:r>
          </w:p>
        </w:tc>
        <w:tc>
          <w:tcPr>
            <w:tcW w:w="5812" w:type="dxa"/>
            <w:noWrap w:val="0"/>
            <w:vAlign w:val="center"/>
          </w:tcPr>
          <w:p w14:paraId="61FE084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《江苏省防洪条例》第四十条  违反本条例第十五条规定，在湖泊湖荡内圈圩养殖的，责令停止违法行为，恢复原状或者采取其他补救措施，并可处以一千元以上一万元以下的罚款；情节严重的，处以一万元以上五万元以下的罚款。既不恢复原状又不采取其他补救措施的，由水行政主管部门指定单位代为恢复原状或者采取其他补救措施，所需费用由违法者承担。</w:t>
            </w:r>
          </w:p>
        </w:tc>
        <w:tc>
          <w:tcPr>
            <w:tcW w:w="2017" w:type="dxa"/>
            <w:noWrap w:val="0"/>
            <w:vAlign w:val="center"/>
          </w:tcPr>
          <w:p w14:paraId="6FF3737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w:t>
            </w:r>
          </w:p>
        </w:tc>
      </w:tr>
      <w:tr w14:paraId="52D0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484BE877">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noWrap w:val="0"/>
            <w:vAlign w:val="center"/>
          </w:tcPr>
          <w:p w14:paraId="33C38AE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在堤坝、渠道上垦种的</w:t>
            </w:r>
          </w:p>
        </w:tc>
        <w:tc>
          <w:tcPr>
            <w:tcW w:w="2693" w:type="dxa"/>
            <w:noWrap w:val="0"/>
            <w:vAlign w:val="center"/>
          </w:tcPr>
          <w:p w14:paraId="7D0C0C3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同时具备以下条件：①违法行为轻微，垦种面积在100平方米以下；②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；③立即停止违法行为，在规定的时间内恢复工程原状的。</w:t>
            </w:r>
          </w:p>
        </w:tc>
        <w:tc>
          <w:tcPr>
            <w:tcW w:w="5812" w:type="dxa"/>
            <w:noWrap w:val="0"/>
            <w:vAlign w:val="center"/>
          </w:tcPr>
          <w:p w14:paraId="706E771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《江苏省水利工程管理条例》第三十条  对违反本条例的单位和个人，按下列规定予以处罚；法律、法规已有处罚规定的，从其规定：</w:t>
            </w:r>
          </w:p>
          <w:p w14:paraId="5826137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违反第八条规定的，县级以上水利部门除责令其停止违法行为、赔偿损失、采取补救措施外，可以并处警告、没收违法所得，处以一万元以下的罚款，情节严重、造成重大损失的，处以一万元以上十万元以下的罚款；对有关责任人员，由其所在单位或者上级主管部门给予行政处分。应当给予治安管理处罚的，由公安机关依照治安管理处罚法处罚。构成犯罪的，依法追究刑事责任。</w:t>
            </w:r>
          </w:p>
        </w:tc>
        <w:tc>
          <w:tcPr>
            <w:tcW w:w="2017" w:type="dxa"/>
            <w:noWrap w:val="0"/>
            <w:vAlign w:val="center"/>
          </w:tcPr>
          <w:p w14:paraId="5E8692E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w:t>
            </w:r>
          </w:p>
        </w:tc>
      </w:tr>
      <w:tr w14:paraId="4D1B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3AE56E2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noWrap w:val="0"/>
            <w:vAlign w:val="center"/>
          </w:tcPr>
          <w:p w14:paraId="3FE5D8B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擅自移动、掩盖界桩、标识牌的</w:t>
            </w:r>
          </w:p>
        </w:tc>
        <w:tc>
          <w:tcPr>
            <w:tcW w:w="2693" w:type="dxa"/>
            <w:noWrap w:val="0"/>
            <w:vAlign w:val="center"/>
          </w:tcPr>
          <w:p w14:paraId="7F7519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同时具备以下条件：①初次被发现；②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；③违法行为未对界桩、标识牌造成损坏；④立即停止违法行为，在规定期限内恢复原状的。</w:t>
            </w:r>
          </w:p>
        </w:tc>
        <w:tc>
          <w:tcPr>
            <w:tcW w:w="5812" w:type="dxa"/>
            <w:noWrap w:val="0"/>
            <w:vAlign w:val="center"/>
          </w:tcPr>
          <w:p w14:paraId="57BE123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《江苏省河道管理条例》第四十七条  违反本条例第十八条第二款规定，擅自移动、损毁、掩盖界桩、标识牌的，由县级以上地方人民政府水行政主管部门责令停止违法行为，恢复原状，可以处以二百元以上二千元以下罚款。</w:t>
            </w:r>
          </w:p>
        </w:tc>
        <w:tc>
          <w:tcPr>
            <w:tcW w:w="2017" w:type="dxa"/>
            <w:noWrap w:val="0"/>
            <w:vAlign w:val="center"/>
          </w:tcPr>
          <w:p w14:paraId="7226912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w:t>
            </w:r>
          </w:p>
        </w:tc>
      </w:tr>
      <w:tr w14:paraId="2374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1DA42E78">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val="en-US" w:eastAsia="zh-CN"/>
              </w:rPr>
              <w:t>0</w:t>
            </w:r>
          </w:p>
        </w:tc>
        <w:tc>
          <w:tcPr>
            <w:tcW w:w="3112" w:type="dxa"/>
            <w:noWrap w:val="0"/>
            <w:vAlign w:val="center"/>
          </w:tcPr>
          <w:p w14:paraId="244EB3E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在涵、闸、泵站、水电站安全警戒区内从事渔业养殖或者停泊船舶、建设水上设施的</w:t>
            </w:r>
          </w:p>
        </w:tc>
        <w:tc>
          <w:tcPr>
            <w:tcW w:w="2693" w:type="dxa"/>
            <w:noWrap w:val="0"/>
            <w:vAlign w:val="center"/>
          </w:tcPr>
          <w:p w14:paraId="3CB73B5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同时具备以下条件：①初次被发现；②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；③立即停止违法行为，在规定的期限内拆除设施。</w:t>
            </w:r>
          </w:p>
        </w:tc>
        <w:tc>
          <w:tcPr>
            <w:tcW w:w="5812" w:type="dxa"/>
            <w:noWrap w:val="0"/>
            <w:vAlign w:val="center"/>
          </w:tcPr>
          <w:p w14:paraId="2D729A0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《江苏省河道管理条例》第五十条  违反本条例第二十八条第一款规定，在涵、闸、泵站、水电站安全警戒区内捕（钓）鱼的，由县级以上地方人民政府水行政主管部门责令停止违法行为，可以处以二百元以上一千元以下罚款；从事渔业养殖或者停泊船舶、建设水上设施的，由县级以上地方人民政府水行政主管部门责令停止违法行为，限期拆除，可以处以一千元以上一万元以下罚款。</w:t>
            </w:r>
          </w:p>
        </w:tc>
        <w:tc>
          <w:tcPr>
            <w:tcW w:w="2017" w:type="dxa"/>
            <w:noWrap w:val="0"/>
            <w:vAlign w:val="center"/>
          </w:tcPr>
          <w:p w14:paraId="0127572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w:t>
            </w:r>
          </w:p>
        </w:tc>
      </w:tr>
      <w:tr w14:paraId="6F81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6BB7918C">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val="en-US" w:eastAsia="zh-CN"/>
              </w:rPr>
              <w:t>1</w:t>
            </w:r>
          </w:p>
        </w:tc>
        <w:tc>
          <w:tcPr>
            <w:tcW w:w="3112" w:type="dxa"/>
            <w:noWrap w:val="0"/>
            <w:vAlign w:val="center"/>
          </w:tcPr>
          <w:p w14:paraId="5E29E4B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未经批准在河道滩地存放物料、进行生产经营活动的</w:t>
            </w:r>
          </w:p>
        </w:tc>
        <w:tc>
          <w:tcPr>
            <w:tcW w:w="2693" w:type="dxa"/>
            <w:noWrap w:val="0"/>
            <w:vAlign w:val="center"/>
          </w:tcPr>
          <w:p w14:paraId="3977303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同时具备以下条件：①初次被发现；②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；③占用面积在20平方米以下；④立即停止违法行为，在规定期限内恢复原状或者采取补救措施；⑤存放的物料不属于法律法规所禁止的。</w:t>
            </w:r>
          </w:p>
        </w:tc>
        <w:tc>
          <w:tcPr>
            <w:tcW w:w="5812" w:type="dxa"/>
            <w:noWrap w:val="0"/>
            <w:vAlign w:val="center"/>
          </w:tcPr>
          <w:p w14:paraId="795A3E8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《江苏省河道管理条例》第五十三条  有下列行为之一的，由县级以上地方人民政府水行政主管部门责令停止违法行为，限期改正或者采取其他补救措施，处以一万元以上五万元以下罚款；构成犯罪的，依法追究刑事责任：</w:t>
            </w:r>
          </w:p>
          <w:p w14:paraId="3D2048C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（二）违反本条例第三十五条第二项规定，未经批准在河道滩地存放物料、进行生产经营活动的；</w:t>
            </w:r>
          </w:p>
        </w:tc>
        <w:tc>
          <w:tcPr>
            <w:tcW w:w="2017" w:type="dxa"/>
            <w:noWrap w:val="0"/>
            <w:vAlign w:val="center"/>
          </w:tcPr>
          <w:p w14:paraId="15114BF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w:t>
            </w:r>
          </w:p>
        </w:tc>
      </w:tr>
      <w:tr w14:paraId="6C77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78C21F1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082FBEE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擅自移动地理界标或者警示标志的</w:t>
            </w:r>
          </w:p>
        </w:tc>
        <w:tc>
          <w:tcPr>
            <w:tcW w:w="2693" w:type="dxa"/>
            <w:noWrap w:val="0"/>
            <w:vAlign w:val="center"/>
          </w:tcPr>
          <w:p w14:paraId="20CA0A1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同时具备以下条件：①初次被发现；②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；③违法行为未对地理界标或者警示标志造成损坏；④立即停止违法行为，在规定期限内恢复原状。</w:t>
            </w:r>
          </w:p>
        </w:tc>
        <w:tc>
          <w:tcPr>
            <w:tcW w:w="5812" w:type="dxa"/>
            <w:noWrap w:val="0"/>
            <w:vAlign w:val="center"/>
          </w:tcPr>
          <w:p w14:paraId="4E9F368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《江苏省农村水利条例》 第五十八条  违反本条例第三十八条第二款规定，擅自移动、损毁地理界标或者警示标志的，由设区的市、县（市、区）人民政府确定的农村供水主管部门责令停止违法行为，恢复原状，可以处两百元以上二千元以下的罚款。</w:t>
            </w:r>
          </w:p>
        </w:tc>
        <w:tc>
          <w:tcPr>
            <w:tcW w:w="2017" w:type="dxa"/>
            <w:noWrap w:val="0"/>
            <w:vAlign w:val="center"/>
          </w:tcPr>
          <w:p w14:paraId="3958C27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设区的市、县（市、区）人民政府确定的农村供水主管部门</w:t>
            </w:r>
          </w:p>
        </w:tc>
      </w:tr>
      <w:tr w14:paraId="5B9D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430A5C7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6081732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在水文监测环境保护范围内种植高秆作物，停靠船只，或者设置网箱、鱼罾、鱼簖等阻水障碍物的</w:t>
            </w:r>
          </w:p>
        </w:tc>
        <w:tc>
          <w:tcPr>
            <w:tcW w:w="2693" w:type="dxa"/>
            <w:noWrap w:val="0"/>
            <w:vAlign w:val="center"/>
          </w:tcPr>
          <w:p w14:paraId="580738B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同时具备以下条件：①违法行为轻微，未直接影响水文监测；②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；③立即停止违法行为，在规定的期限内清除高杆作物、移走船只、清除障碍物。</w:t>
            </w:r>
          </w:p>
        </w:tc>
        <w:tc>
          <w:tcPr>
            <w:tcW w:w="5812" w:type="dxa"/>
            <w:noWrap w:val="0"/>
            <w:vAlign w:val="center"/>
          </w:tcPr>
          <w:p w14:paraId="20E5697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《江苏省水文条例》第三十四条  违反本条例规定，从事本条例第三十条所列活动的，由水行政主管部门责令停止违法行为，限期恢复原状或者采取其他补救措施，并可以按照下列规定处以罚款：</w:t>
            </w:r>
          </w:p>
          <w:p w14:paraId="0402ED2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（一）种植高秆作物，停靠船只，或者设置网箱、鱼罾、鱼簖等阻水障碍物的，处以二百元以上一千元以下罚款；</w:t>
            </w:r>
          </w:p>
        </w:tc>
        <w:tc>
          <w:tcPr>
            <w:tcW w:w="2017" w:type="dxa"/>
            <w:noWrap w:val="0"/>
            <w:vAlign w:val="center"/>
          </w:tcPr>
          <w:p w14:paraId="316C078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水行政主管部门</w:t>
            </w:r>
          </w:p>
        </w:tc>
      </w:tr>
      <w:tr w14:paraId="4648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01DBFEA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1</w:t>
            </w: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7961D3E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未按照规定配套建设节约用水设施；配套建设的节约用水设施未经验收或者验收不合格仍投入使用的</w:t>
            </w:r>
          </w:p>
        </w:tc>
        <w:tc>
          <w:tcPr>
            <w:tcW w:w="2693" w:type="dxa"/>
            <w:noWrap w:val="0"/>
            <w:vAlign w:val="center"/>
          </w:tcPr>
          <w:p w14:paraId="3B0AEA2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同时具备以下条件：①实际用水量1000吨以下；②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；③在规定期限内改正，未产生危害后果。</w:t>
            </w:r>
          </w:p>
        </w:tc>
        <w:tc>
          <w:tcPr>
            <w:tcW w:w="5812" w:type="dxa"/>
            <w:noWrap w:val="0"/>
            <w:vAlign w:val="center"/>
          </w:tcPr>
          <w:p w14:paraId="06FE2A2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《江苏省城乡供水管理条例》第五十五条  违反本条例第四十七条规定，建设单位有下列行为之一的，由城乡供水主管部门责令改正，并可以处以一万元以上三万元以下罚款：</w:t>
            </w:r>
          </w:p>
          <w:p w14:paraId="73F6008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（一）未按照规定配套建设节约用水设施的；</w:t>
            </w:r>
          </w:p>
          <w:p w14:paraId="1A4C6A9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（二）配套建设的节约用水设施，未经验收或者验收不合格仍投入使用的。</w:t>
            </w:r>
          </w:p>
        </w:tc>
        <w:tc>
          <w:tcPr>
            <w:tcW w:w="2017" w:type="dxa"/>
            <w:noWrap w:val="0"/>
            <w:vAlign w:val="center"/>
          </w:tcPr>
          <w:p w14:paraId="5F7CD70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城乡供水主管部门</w:t>
            </w:r>
          </w:p>
        </w:tc>
      </w:tr>
      <w:tr w14:paraId="7239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51370397">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15</w:t>
            </w:r>
          </w:p>
        </w:tc>
        <w:tc>
          <w:tcPr>
            <w:tcW w:w="3112" w:type="dxa"/>
            <w:noWrap w:val="0"/>
            <w:vAlign w:val="center"/>
          </w:tcPr>
          <w:p w14:paraId="3AB36FA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公民、法人或者其他组织未经水行政许可，擅自从事依法应当取得水行政许可的活动的</w:t>
            </w:r>
          </w:p>
        </w:tc>
        <w:tc>
          <w:tcPr>
            <w:tcW w:w="2693" w:type="dxa"/>
            <w:noWrap w:val="0"/>
            <w:vAlign w:val="center"/>
          </w:tcPr>
          <w:p w14:paraId="52E75A3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；②从事非经营性活动未造成危害后果，主动改正、消除影响。</w:t>
            </w:r>
          </w:p>
        </w:tc>
        <w:tc>
          <w:tcPr>
            <w:tcW w:w="5812" w:type="dxa"/>
            <w:noWrap w:val="0"/>
            <w:vAlign w:val="center"/>
          </w:tcPr>
          <w:p w14:paraId="0CBE8C0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《水行政许可实施办法》第五十八条  公民、法人或者其他组织未经水行政许可，擅自从事依法应当取得水行政许可的活动的，水行政许可实施机关应当责令停止违法行为，并给予警告。当事人从事非经营活动的，可以处一千元以下罚款；当事人从事经营活动，有违法所得的，可以处违法所得三倍以下罚款，但是最高不得超过三万元，没有违法所得的，可以处一万元以下罚款，法律、法规另有规定的除外；构成犯罪的，依法追究刑事责任。</w:t>
            </w:r>
          </w:p>
        </w:tc>
        <w:tc>
          <w:tcPr>
            <w:tcW w:w="2017" w:type="dxa"/>
            <w:noWrap w:val="0"/>
            <w:vAlign w:val="center"/>
          </w:tcPr>
          <w:p w14:paraId="129ACAD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水行政许可实施机关</w:t>
            </w:r>
          </w:p>
        </w:tc>
      </w:tr>
      <w:tr w14:paraId="2E0B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218A62C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16</w:t>
            </w:r>
          </w:p>
        </w:tc>
        <w:tc>
          <w:tcPr>
            <w:tcW w:w="3112" w:type="dxa"/>
            <w:noWrap w:val="0"/>
            <w:vAlign w:val="center"/>
          </w:tcPr>
          <w:p w14:paraId="1B756AF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排水户未取得污水排入排水管网许可证向城镇排水设施排放污水的</w:t>
            </w:r>
          </w:p>
        </w:tc>
        <w:tc>
          <w:tcPr>
            <w:tcW w:w="2693" w:type="dxa"/>
            <w:noWrap w:val="0"/>
            <w:vAlign w:val="center"/>
          </w:tcPr>
          <w:p w14:paraId="1ABF11E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同时具备以下条件：①违法主体为从事餐饮、建筑活动的排水户；②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；③停止违法行为，并在规定限期内采取治理措施、补办污水排入排水管网许可证的。</w:t>
            </w:r>
          </w:p>
        </w:tc>
        <w:tc>
          <w:tcPr>
            <w:tcW w:w="5812" w:type="dxa"/>
            <w:vMerge w:val="restart"/>
            <w:noWrap w:val="0"/>
            <w:vAlign w:val="center"/>
          </w:tcPr>
          <w:p w14:paraId="1BFE39F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《城镇排水与污水处理条例》第五十条　违反本条例规定，排水户未取得污水排入排水管网许可证向城镇排水设施排放污水的，由城镇排水主管部门责令停止违法行为，限期采取治理措施，补办污水排入排水管网许可证，可以处50万元以下罚款；造成损失的，依法承担赔偿责任；构成犯罪的，依法追究刑事责任。</w:t>
            </w:r>
          </w:p>
          <w:p w14:paraId="68CDABA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违反本条例规定，排水户不按照污水排入排水管网许可证的要求排放污水的，由城镇排水主管部门责令停止违法行为，限期改正，可以处5万元以下罚款；造成严重后果的，吊销污水排入排水管网许可证，并处5万元以上50万元以下罚款，可以向社会予以通报；造成损失的，依法承担赔偿责任；构成犯罪的，依法追究刑事责任。</w:t>
            </w:r>
          </w:p>
        </w:tc>
        <w:tc>
          <w:tcPr>
            <w:tcW w:w="2017" w:type="dxa"/>
            <w:noWrap w:val="0"/>
            <w:vAlign w:val="center"/>
          </w:tcPr>
          <w:p w14:paraId="251867A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城镇排水主管部门</w:t>
            </w:r>
          </w:p>
        </w:tc>
      </w:tr>
      <w:tr w14:paraId="427A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5DFE2E5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17</w:t>
            </w:r>
          </w:p>
        </w:tc>
        <w:tc>
          <w:tcPr>
            <w:tcW w:w="3112" w:type="dxa"/>
            <w:noWrap w:val="0"/>
            <w:vAlign w:val="center"/>
          </w:tcPr>
          <w:p w14:paraId="789051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排水户不按照污水排入排水管网许可证的要求排放污水的</w:t>
            </w:r>
          </w:p>
        </w:tc>
        <w:tc>
          <w:tcPr>
            <w:tcW w:w="2693" w:type="dxa"/>
            <w:noWrap w:val="0"/>
            <w:vAlign w:val="center"/>
          </w:tcPr>
          <w:p w14:paraId="433754E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；②未按照许可要求的主要污染物种类和浓度排放，主要污染物种类超标属于轻微情形，在规定时间内改正。</w:t>
            </w:r>
          </w:p>
        </w:tc>
        <w:tc>
          <w:tcPr>
            <w:tcW w:w="5812" w:type="dxa"/>
            <w:vMerge w:val="continue"/>
            <w:noWrap w:val="0"/>
            <w:vAlign w:val="center"/>
          </w:tcPr>
          <w:p w14:paraId="6064BD7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017" w:type="dxa"/>
            <w:noWrap w:val="0"/>
            <w:vAlign w:val="center"/>
          </w:tcPr>
          <w:p w14:paraId="763F831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城镇排水主管部门</w:t>
            </w:r>
          </w:p>
        </w:tc>
      </w:tr>
      <w:tr w14:paraId="5226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299F1288">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18</w:t>
            </w:r>
          </w:p>
        </w:tc>
        <w:tc>
          <w:tcPr>
            <w:tcW w:w="3112" w:type="dxa"/>
            <w:noWrap w:val="0"/>
            <w:vAlign w:val="center"/>
          </w:tcPr>
          <w:p w14:paraId="640CFDC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排水单位或者个人不缴纳污水处理费的</w:t>
            </w:r>
          </w:p>
        </w:tc>
        <w:tc>
          <w:tcPr>
            <w:tcW w:w="2693" w:type="dxa"/>
            <w:noWrap w:val="0"/>
            <w:vAlign w:val="center"/>
          </w:tcPr>
          <w:p w14:paraId="0955391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；②在规定期限内缴纳费用。</w:t>
            </w:r>
          </w:p>
        </w:tc>
        <w:tc>
          <w:tcPr>
            <w:tcW w:w="5812" w:type="dxa"/>
            <w:noWrap w:val="0"/>
            <w:vAlign w:val="center"/>
          </w:tcPr>
          <w:p w14:paraId="3760AF4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《城镇排水与污水处理条例》第五十四条  违反本条例规定，排水单位或者个人不缴纳污水处理费的，由城镇排水主管部门责令限期缴纳，逾期拒不缴纳的，处应缴纳污水处理费数额1倍以上3倍以下罚款。</w:t>
            </w:r>
          </w:p>
        </w:tc>
        <w:tc>
          <w:tcPr>
            <w:tcW w:w="2017" w:type="dxa"/>
            <w:noWrap w:val="0"/>
            <w:vAlign w:val="center"/>
          </w:tcPr>
          <w:p w14:paraId="0E65ED2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城镇排水主管部门</w:t>
            </w:r>
          </w:p>
        </w:tc>
      </w:tr>
      <w:tr w14:paraId="7030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39ACC7C0">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19</w:t>
            </w:r>
          </w:p>
        </w:tc>
        <w:tc>
          <w:tcPr>
            <w:tcW w:w="3112" w:type="dxa"/>
            <w:noWrap w:val="0"/>
            <w:vAlign w:val="center"/>
          </w:tcPr>
          <w:p w14:paraId="0DDD691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在禁止钓鱼、捕鱼或者游泳的河道内钓鱼、捕鱼或者游泳的</w:t>
            </w:r>
          </w:p>
        </w:tc>
        <w:tc>
          <w:tcPr>
            <w:tcW w:w="2693" w:type="dxa"/>
            <w:noWrap w:val="0"/>
            <w:vAlign w:val="center"/>
          </w:tcPr>
          <w:p w14:paraId="66E7E95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；②经责令后停止违法行为。</w:t>
            </w:r>
          </w:p>
        </w:tc>
        <w:tc>
          <w:tcPr>
            <w:tcW w:w="5812" w:type="dxa"/>
            <w:noWrap w:val="0"/>
            <w:vAlign w:val="center"/>
          </w:tcPr>
          <w:p w14:paraId="3EDFEC1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《苏州市河道管理条例》第四十条  违反本条例第三十六条第二款规定的，由水行政主管部门责令停止违法行为，没收违法所得，可以处以五十元以上二百元以下罚款。</w:t>
            </w:r>
          </w:p>
        </w:tc>
        <w:tc>
          <w:tcPr>
            <w:tcW w:w="2017" w:type="dxa"/>
            <w:noWrap w:val="0"/>
            <w:vAlign w:val="center"/>
          </w:tcPr>
          <w:p w14:paraId="37F8C9B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水行政主管部门</w:t>
            </w:r>
          </w:p>
        </w:tc>
      </w:tr>
      <w:tr w14:paraId="2C99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129E4DE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20</w:t>
            </w:r>
          </w:p>
        </w:tc>
        <w:tc>
          <w:tcPr>
            <w:tcW w:w="3112" w:type="dxa"/>
            <w:noWrap w:val="0"/>
            <w:vAlign w:val="center"/>
          </w:tcPr>
          <w:p w14:paraId="26BBE48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在河道管理范围内清洗马桶、痰盂、装贮过涂（颜）料的器具等物品的</w:t>
            </w:r>
          </w:p>
        </w:tc>
        <w:tc>
          <w:tcPr>
            <w:tcW w:w="2693" w:type="dxa"/>
            <w:noWrap w:val="0"/>
            <w:vAlign w:val="center"/>
          </w:tcPr>
          <w:p w14:paraId="35A9D40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同时具备以下条件：①初次被发现；②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；③经责令后停止违法行为且未造成危害后果。</w:t>
            </w:r>
          </w:p>
        </w:tc>
        <w:tc>
          <w:tcPr>
            <w:tcW w:w="5812" w:type="dxa"/>
            <w:noWrap w:val="0"/>
            <w:vAlign w:val="center"/>
          </w:tcPr>
          <w:p w14:paraId="04D7609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《苏州市河道管理条例》第四十一条第三款  违反本条例第三十七条第三项规定的，由水行政主管部门责令立即停止违法行为，可以处以五十元以上五百元以下罚款；情节严重的，处以五百元以上五千元以下罚款。</w:t>
            </w:r>
          </w:p>
        </w:tc>
        <w:tc>
          <w:tcPr>
            <w:tcW w:w="2017" w:type="dxa"/>
            <w:noWrap w:val="0"/>
            <w:vAlign w:val="center"/>
          </w:tcPr>
          <w:p w14:paraId="1881B31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水行政主管部门</w:t>
            </w:r>
          </w:p>
        </w:tc>
      </w:tr>
      <w:tr w14:paraId="19B0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2BC70BB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21</w:t>
            </w:r>
          </w:p>
        </w:tc>
        <w:tc>
          <w:tcPr>
            <w:tcW w:w="3112" w:type="dxa"/>
            <w:noWrap w:val="0"/>
            <w:vAlign w:val="center"/>
          </w:tcPr>
          <w:p w14:paraId="182AE62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在河道管理范围内丢弃船舶和浮动设施的</w:t>
            </w:r>
          </w:p>
        </w:tc>
        <w:tc>
          <w:tcPr>
            <w:tcW w:w="2693" w:type="dxa"/>
            <w:noWrap w:val="0"/>
            <w:vAlign w:val="center"/>
          </w:tcPr>
          <w:p w14:paraId="55B02D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；②在规定时限内移除或者采取其他补救措施、未造成危害后果</w:t>
            </w:r>
          </w:p>
        </w:tc>
        <w:tc>
          <w:tcPr>
            <w:tcW w:w="5812" w:type="dxa"/>
            <w:noWrap w:val="0"/>
            <w:vAlign w:val="center"/>
          </w:tcPr>
          <w:p w14:paraId="48BA1EB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《苏州市河道管理条例》第四十一条第五款  违反本条例第三十七条第五项规定的，由水行政主管部门责令限期移除或者采取其他补救措施；拒不改正的，处以一万元以上五万元以下罚款。</w:t>
            </w:r>
          </w:p>
        </w:tc>
        <w:tc>
          <w:tcPr>
            <w:tcW w:w="2017" w:type="dxa"/>
            <w:noWrap w:val="0"/>
            <w:vAlign w:val="center"/>
          </w:tcPr>
          <w:p w14:paraId="7E12134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水行政主管部门</w:t>
            </w:r>
          </w:p>
        </w:tc>
      </w:tr>
      <w:tr w14:paraId="4A84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4E58C441">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22</w:t>
            </w:r>
          </w:p>
        </w:tc>
        <w:tc>
          <w:tcPr>
            <w:tcW w:w="3112" w:type="dxa"/>
            <w:noWrap w:val="0"/>
            <w:vAlign w:val="center"/>
          </w:tcPr>
          <w:p w14:paraId="56C74E6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在水土保持方案确定的专门存放地以外的区域倾倒砂、石、土、矸石、尾矿、废渣等的</w:t>
            </w:r>
          </w:p>
        </w:tc>
        <w:tc>
          <w:tcPr>
            <w:tcW w:w="2693" w:type="dxa"/>
            <w:noWrap w:val="0"/>
            <w:vAlign w:val="center"/>
          </w:tcPr>
          <w:p w14:paraId="2C3AC15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同时具备以下条件：①初次被发现；②</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；③立即停止违法行为，在规定期限内清除，并未造成危害后果。</w:t>
            </w:r>
          </w:p>
        </w:tc>
        <w:tc>
          <w:tcPr>
            <w:tcW w:w="5812" w:type="dxa"/>
            <w:noWrap w:val="0"/>
            <w:vAlign w:val="center"/>
          </w:tcPr>
          <w:p w14:paraId="20B69B2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《中华人民共和国水土保持法》第五十五条  违反本法规定，在水土保持方案确定的专门存放地以外的区域倾倒砂、石、土、矸石、尾矿、废渣等的，由县级以上地方人民政府水行政主管部门责令停止违法行为，限期清理，按照倾倒数量处每立方米十元以上二十元以下的罚款；逾期仍不清理的，县级以上地方人民政府水行政主管部门可以指定有清理能力的单位代为清理，所需费用由违法行为人承担。</w:t>
            </w:r>
          </w:p>
        </w:tc>
        <w:tc>
          <w:tcPr>
            <w:tcW w:w="2017" w:type="dxa"/>
            <w:noWrap w:val="0"/>
            <w:vAlign w:val="center"/>
          </w:tcPr>
          <w:p w14:paraId="39457B8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w:t>
            </w:r>
          </w:p>
        </w:tc>
      </w:tr>
      <w:tr w14:paraId="3B1D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760B930F">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23</w:t>
            </w:r>
          </w:p>
        </w:tc>
        <w:tc>
          <w:tcPr>
            <w:tcW w:w="3112" w:type="dxa"/>
            <w:noWrap w:val="0"/>
            <w:vAlign w:val="center"/>
          </w:tcPr>
          <w:p w14:paraId="5308654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排水户名称、法定代表人等其他事项变更，未按规定及时向城镇排水主管部门申请办理变更的</w:t>
            </w:r>
          </w:p>
        </w:tc>
        <w:tc>
          <w:tcPr>
            <w:tcW w:w="2693" w:type="dxa"/>
            <w:noWrap w:val="0"/>
            <w:vAlign w:val="center"/>
          </w:tcPr>
          <w:p w14:paraId="1885DCE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；②在规定期限内补办变更手续。</w:t>
            </w:r>
          </w:p>
        </w:tc>
        <w:tc>
          <w:tcPr>
            <w:tcW w:w="5812" w:type="dxa"/>
            <w:noWrap w:val="0"/>
            <w:vAlign w:val="center"/>
          </w:tcPr>
          <w:p w14:paraId="0756167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《城镇污水排入排水管网许可管理办法》第二十九条  排水户名称、法定代表人等其他事项变更，未按本办法规定及时向城镇排水主管部门申请办理变更的，由城镇排水主管部门责令改正，可以处1万元以下罚款。</w:t>
            </w:r>
          </w:p>
        </w:tc>
        <w:tc>
          <w:tcPr>
            <w:tcW w:w="2017" w:type="dxa"/>
            <w:noWrap w:val="0"/>
            <w:vAlign w:val="center"/>
          </w:tcPr>
          <w:p w14:paraId="7A6B837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城镇排水主管部门</w:t>
            </w:r>
          </w:p>
        </w:tc>
      </w:tr>
      <w:tr w14:paraId="2940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 w:hRule="atLeast"/>
        </w:trPr>
        <w:tc>
          <w:tcPr>
            <w:tcW w:w="432" w:type="dxa"/>
            <w:noWrap w:val="0"/>
            <w:vAlign w:val="center"/>
          </w:tcPr>
          <w:p w14:paraId="19433C2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24</w:t>
            </w:r>
          </w:p>
        </w:tc>
        <w:tc>
          <w:tcPr>
            <w:tcW w:w="3112" w:type="dxa"/>
            <w:noWrap w:val="0"/>
            <w:vAlign w:val="center"/>
          </w:tcPr>
          <w:p w14:paraId="70B5E7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重点排水户未按照规定建立档案管理制度，或者档案记录保存期限少于5年的</w:t>
            </w:r>
          </w:p>
        </w:tc>
        <w:tc>
          <w:tcPr>
            <w:tcW w:w="2693" w:type="dxa"/>
            <w:noWrap w:val="0"/>
            <w:vAlign w:val="center"/>
          </w:tcPr>
          <w:p w14:paraId="1B90552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同时具备以下条件：①</w:t>
            </w:r>
            <w:r>
              <w:rPr>
                <w:rFonts w:hint="eastAsia" w:asciiTheme="minorEastAsia" w:hAnsiTheme="minorEastAsia" w:eastAsiaTheme="minorEastAsia" w:cstheme="minorEastAsia"/>
                <w:spacing w:val="-2"/>
                <w:kern w:val="0"/>
                <w:sz w:val="22"/>
                <w:szCs w:val="20"/>
                <w:lang w:eastAsia="zh-CN"/>
              </w:rPr>
              <w:t>违法行为调查过程中，配合执法部门调查处理的</w:t>
            </w:r>
            <w:r>
              <w:rPr>
                <w:rFonts w:hint="eastAsia" w:asciiTheme="minorEastAsia" w:hAnsiTheme="minorEastAsia" w:eastAsiaTheme="minorEastAsia" w:cstheme="minorEastAsia"/>
                <w:spacing w:val="-2"/>
                <w:kern w:val="0"/>
                <w:sz w:val="22"/>
                <w:szCs w:val="20"/>
              </w:rPr>
              <w:t>；②在规定期限内建立档案管理制度。</w:t>
            </w:r>
          </w:p>
        </w:tc>
        <w:tc>
          <w:tcPr>
            <w:tcW w:w="5812" w:type="dxa"/>
            <w:noWrap w:val="0"/>
            <w:vAlign w:val="center"/>
          </w:tcPr>
          <w:p w14:paraId="6DFEBE0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《城镇污水排入排水管网许可管理办法》第三十三条  重点排水户未按照本办法规定建立档案管理制度，或者档案记录保存期限少于5年的，由城镇排水主管部门责令改正，可以处3万元以下罚款。</w:t>
            </w:r>
          </w:p>
        </w:tc>
        <w:tc>
          <w:tcPr>
            <w:tcW w:w="2017" w:type="dxa"/>
            <w:noWrap w:val="0"/>
            <w:vAlign w:val="center"/>
          </w:tcPr>
          <w:p w14:paraId="334C44B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城镇排水主管部门</w:t>
            </w:r>
          </w:p>
        </w:tc>
      </w:tr>
      <w:tr w14:paraId="034B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432" w:type="dxa"/>
            <w:noWrap w:val="0"/>
            <w:vAlign w:val="center"/>
          </w:tcPr>
          <w:p w14:paraId="59F5CC58">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w:t>
            </w:r>
          </w:p>
        </w:tc>
        <w:tc>
          <w:tcPr>
            <w:tcW w:w="3112" w:type="dxa"/>
            <w:shd w:val="clear" w:color="auto" w:fill="auto"/>
            <w:noWrap w:val="0"/>
            <w:vAlign w:val="center"/>
          </w:tcPr>
          <w:p w14:paraId="34B62AB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农药经营者设立分支机构未依法变更农药经营许可证，或者未向分支机构所在地县级以上地方人民政府农业主管部门备案的</w:t>
            </w:r>
          </w:p>
        </w:tc>
        <w:tc>
          <w:tcPr>
            <w:tcW w:w="2693" w:type="dxa"/>
            <w:shd w:val="clear" w:color="auto" w:fill="auto"/>
            <w:noWrap w:val="0"/>
            <w:vAlign w:val="center"/>
          </w:tcPr>
          <w:p w14:paraId="7E1E6B6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0F6B98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2.分支机构经营时间不足2个月且无其他违法行为；</w:t>
            </w:r>
          </w:p>
          <w:p w14:paraId="12D82C1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0194168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【行政法规】《农药管理条例》第二十五条第三款  农药经营许可证载明事项发生变化的，农药经营者应当按照国务院农业主管部门的规定申请变更农药经营许可证。</w:t>
            </w:r>
          </w:p>
          <w:p w14:paraId="31AF203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【行政法规】《农药管理条例》第二十五条第四款  取得农药经营许可证的农药经营者设立分支机构的，应当依法申请变更农药经营许可证，并向分支机构所在地县级以上地方人民政府农业主管部门备案，其分支机构免予办理农药经营许可证。农药经营者应当对其分支机构的经营活动负责。</w:t>
            </w:r>
          </w:p>
          <w:p w14:paraId="36F83A6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【行政法规】《农药管理条例》第五十七条 农药经营者有下列行为之一的，由县级以上地方人民政府农业主管部门责令改正，没收违法所得和违法经营的农药，并处5000元以上5万元以下罚款；拒不改正或者情节严重的，由发证机关吊销农药经营许可证：</w:t>
            </w:r>
          </w:p>
          <w:p w14:paraId="33905D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（一）设立分支机构未依法变更农药经营许可证，或者未向分支机构所在地县级以上地方人民政府农业主管部门备案；</w:t>
            </w:r>
          </w:p>
          <w:p w14:paraId="38AB7AD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（二）向未取得农药生产许可证的农药生产企业或者未取得农药经营许可证的其他农药经营者采购农药；</w:t>
            </w:r>
          </w:p>
          <w:p w14:paraId="15A03EB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（三）采购、销售未附具产品质量检验合格证或者包装、标签不符合规定的农药；</w:t>
            </w:r>
          </w:p>
          <w:p w14:paraId="5D40AD5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（四）不停止销售依法应当召回的农药。</w:t>
            </w:r>
          </w:p>
        </w:tc>
        <w:tc>
          <w:tcPr>
            <w:tcW w:w="2017" w:type="dxa"/>
            <w:shd w:val="clear" w:color="auto" w:fill="auto"/>
            <w:noWrap w:val="0"/>
            <w:vAlign w:val="center"/>
          </w:tcPr>
          <w:p w14:paraId="556D319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B6B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432" w:type="dxa"/>
            <w:noWrap w:val="0"/>
            <w:vAlign w:val="center"/>
          </w:tcPr>
          <w:p w14:paraId="6ACF85B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w:t>
            </w:r>
          </w:p>
        </w:tc>
        <w:tc>
          <w:tcPr>
            <w:tcW w:w="3112" w:type="dxa"/>
            <w:shd w:val="clear" w:color="auto" w:fill="auto"/>
            <w:noWrap w:val="0"/>
            <w:vAlign w:val="center"/>
          </w:tcPr>
          <w:p w14:paraId="60CD11C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取得农药生产许可证的农药生产企业不再符合规定条件继续生产农药的</w:t>
            </w:r>
          </w:p>
        </w:tc>
        <w:tc>
          <w:tcPr>
            <w:tcW w:w="2693" w:type="dxa"/>
            <w:shd w:val="clear" w:color="auto" w:fill="auto"/>
            <w:noWrap w:val="0"/>
            <w:vAlign w:val="center"/>
          </w:tcPr>
          <w:p w14:paraId="1B349F4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4AF3816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78470FB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4B05102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【行政法规】《农药管理条例》第十八条第二款  农药生产许可证有效期为5年。有效期届满，需要继续生产农药的，农药生产企业应当在有效期届满90日前向省、自治区、直辖市人民政府农业主管部门申请延续。</w:t>
            </w:r>
          </w:p>
          <w:p w14:paraId="1AE4E9A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【行政法规】《农药管理条例》第五十二条第二款 取得农药生产许可证的农药生产企业不再符合规定条件继续生产农药的，由县级以上地方人民政府农业主管部门责令限期整改；逾期拒不整改或者整改后仍不符合规定条件的，由发证机关吊销农药生产许可证。</w:t>
            </w:r>
          </w:p>
        </w:tc>
        <w:tc>
          <w:tcPr>
            <w:tcW w:w="2017" w:type="dxa"/>
            <w:shd w:val="clear" w:color="auto" w:fill="auto"/>
            <w:noWrap w:val="0"/>
            <w:vAlign w:val="center"/>
          </w:tcPr>
          <w:p w14:paraId="47B3528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0868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432" w:type="dxa"/>
            <w:noWrap w:val="0"/>
            <w:vAlign w:val="center"/>
          </w:tcPr>
          <w:p w14:paraId="6A77C058">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w:t>
            </w:r>
          </w:p>
        </w:tc>
        <w:tc>
          <w:tcPr>
            <w:tcW w:w="3112" w:type="dxa"/>
            <w:shd w:val="clear" w:color="auto" w:fill="auto"/>
            <w:noWrap w:val="0"/>
            <w:vAlign w:val="center"/>
          </w:tcPr>
          <w:p w14:paraId="2FF27C4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取得农药经营许可证的农药经营者不再符合规定条件继续经营农药的</w:t>
            </w:r>
          </w:p>
        </w:tc>
        <w:tc>
          <w:tcPr>
            <w:tcW w:w="2693" w:type="dxa"/>
            <w:shd w:val="clear" w:color="auto" w:fill="auto"/>
            <w:noWrap w:val="0"/>
            <w:vAlign w:val="center"/>
          </w:tcPr>
          <w:p w14:paraId="0BBBF15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2CF66F8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06957D7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4B5A9B4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【行政法规】《农药管理条例》第二十五条第二款 农药经营许可证有效期为5年。有效期届满，需要继续经营农药的，农药经营者应当在有效期届满90日前向发证机关申请延续。</w:t>
            </w:r>
          </w:p>
          <w:p w14:paraId="4FCF113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【行政法规】《农药管理条例》第五十五条第三款 取得农药经营许可证的农药经营者不再符合规定条件继续经营农药的，由县级以上地方人民政府农业主管部门责令限期整改；逾期拒不整改或者整改后仍不符合规定条件的，由发证机关吊销农药经营许可证。</w:t>
            </w:r>
          </w:p>
        </w:tc>
        <w:tc>
          <w:tcPr>
            <w:tcW w:w="2017" w:type="dxa"/>
            <w:shd w:val="clear" w:color="auto" w:fill="auto"/>
            <w:noWrap w:val="0"/>
            <w:vAlign w:val="center"/>
          </w:tcPr>
          <w:p w14:paraId="30A5FD9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F07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2" w:type="dxa"/>
            <w:noWrap w:val="0"/>
            <w:vAlign w:val="center"/>
          </w:tcPr>
          <w:p w14:paraId="50F1DF38">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w:t>
            </w:r>
          </w:p>
        </w:tc>
        <w:tc>
          <w:tcPr>
            <w:tcW w:w="3112" w:type="dxa"/>
            <w:shd w:val="clear" w:color="auto" w:fill="auto"/>
            <w:noWrap w:val="0"/>
            <w:vAlign w:val="center"/>
          </w:tcPr>
          <w:p w14:paraId="3FD19C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农药经营者不执行农药采购台账、销售台账制度的 </w:t>
            </w:r>
          </w:p>
        </w:tc>
        <w:tc>
          <w:tcPr>
            <w:tcW w:w="2693" w:type="dxa"/>
            <w:shd w:val="clear" w:color="auto" w:fill="auto"/>
            <w:noWrap w:val="0"/>
            <w:vAlign w:val="center"/>
          </w:tcPr>
          <w:p w14:paraId="2C4F3AC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7AAF42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6691A2D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33AE33D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【行政法规】《农药管理条例》第二十六条第二款  农药经营者应当建立采购台账，如实记录农药的名称、有关许可证明文件编号、规格、数量、生产企业和供货人名称及其联系方式、进货日期等内容。采购台账应当保存2年以上。</w:t>
            </w:r>
          </w:p>
          <w:p w14:paraId="7F5C474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【行政法规】《农药管理条例》第二十七条第一款  农药经营者应当建立销售台账，如实记录销售农药的名称、规格、数量、生产企业、购买人、销售日期等内容。销售台账应当保存2年以上。</w:t>
            </w:r>
          </w:p>
          <w:p w14:paraId="67C364A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【行政法规】《农药管理条例》第五十八条 农药经营者有下列行为之一的，由县级以上地方人民政府农业主管部门责令改正；拒不改正或者情节严重的，处2000元以上2万元以下罚款，并由发证机关吊销农药经营许可证：</w:t>
            </w:r>
          </w:p>
          <w:p w14:paraId="0814530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（一）不执行农药采购台账、销售台账制度；</w:t>
            </w:r>
          </w:p>
          <w:p w14:paraId="55B12E5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（二）在卫生用农药以外的农药经营场所内经营食品、食用农产品、饲料等；</w:t>
            </w:r>
          </w:p>
          <w:p w14:paraId="433954F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（三）未将卫生用农药与其他商品分柜销售；</w:t>
            </w:r>
          </w:p>
          <w:p w14:paraId="7BE9C55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（四）不履行农药废弃物回收义务。</w:t>
            </w:r>
          </w:p>
        </w:tc>
        <w:tc>
          <w:tcPr>
            <w:tcW w:w="2017" w:type="dxa"/>
            <w:shd w:val="clear" w:color="auto" w:fill="auto"/>
            <w:noWrap w:val="0"/>
            <w:vAlign w:val="center"/>
          </w:tcPr>
          <w:p w14:paraId="265D962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85D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0ED9581">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w:t>
            </w:r>
          </w:p>
        </w:tc>
        <w:tc>
          <w:tcPr>
            <w:tcW w:w="3112" w:type="dxa"/>
            <w:shd w:val="clear" w:color="auto" w:fill="auto"/>
            <w:noWrap w:val="0"/>
            <w:vAlign w:val="center"/>
          </w:tcPr>
          <w:p w14:paraId="1251EE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农药经营者在卫生用农药以外的农药经营场所内经营食品、食用农产品、饲料等的 </w:t>
            </w:r>
          </w:p>
        </w:tc>
        <w:tc>
          <w:tcPr>
            <w:tcW w:w="2693" w:type="dxa"/>
            <w:shd w:val="clear" w:color="auto" w:fill="auto"/>
            <w:noWrap w:val="0"/>
            <w:vAlign w:val="center"/>
          </w:tcPr>
          <w:p w14:paraId="3C9F4E0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50CA9D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67690C4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03D756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【行政法规】《农药管理条例》第二十八条第二款 经营卫生用农药的，应当将卫生用农药与其他商品分柜销售；经营其他农药的，不得在农药经营场所内经营食品、食用农产品、饲料等。</w:t>
            </w:r>
          </w:p>
          <w:p w14:paraId="70B39A5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【行政法规】《农药管理条例》第五十八条 农药经营者有下列行为之一的，由县级以上地方人民政府农业主管部门责令改正；拒不改正或者情节严重的，处2000元以上2万元以下罚款，并由发证机关吊销农药经营许可证：</w:t>
            </w:r>
          </w:p>
          <w:p w14:paraId="41A8FE1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（一）不执行农药采购台账、销售台账制度；</w:t>
            </w:r>
          </w:p>
          <w:p w14:paraId="780805B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（二）在卫生用农药以外的农药经营场所内经营食品、食用农产品、饲料等；</w:t>
            </w:r>
          </w:p>
          <w:p w14:paraId="42C7A6D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（三）未将卫生用农药与其他商品分柜销售；</w:t>
            </w:r>
          </w:p>
          <w:p w14:paraId="429A6A7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（四）不履行农药废弃物回收义务。</w:t>
            </w:r>
          </w:p>
        </w:tc>
        <w:tc>
          <w:tcPr>
            <w:tcW w:w="2017" w:type="dxa"/>
            <w:shd w:val="clear" w:color="auto" w:fill="auto"/>
            <w:noWrap w:val="0"/>
            <w:vAlign w:val="center"/>
          </w:tcPr>
          <w:p w14:paraId="049B575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9F4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432" w:type="dxa"/>
            <w:noWrap w:val="0"/>
            <w:vAlign w:val="center"/>
          </w:tcPr>
          <w:p w14:paraId="066FA1DC">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6</w:t>
            </w:r>
          </w:p>
        </w:tc>
        <w:tc>
          <w:tcPr>
            <w:tcW w:w="3112" w:type="dxa"/>
            <w:shd w:val="clear" w:color="auto" w:fill="auto"/>
            <w:noWrap w:val="0"/>
            <w:vAlign w:val="center"/>
          </w:tcPr>
          <w:p w14:paraId="3DD55F1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农药经营者未将卫生用农药与其他商品分柜销售的</w:t>
            </w:r>
          </w:p>
        </w:tc>
        <w:tc>
          <w:tcPr>
            <w:tcW w:w="2693" w:type="dxa"/>
            <w:shd w:val="clear" w:color="auto" w:fill="auto"/>
            <w:noWrap w:val="0"/>
            <w:vAlign w:val="center"/>
          </w:tcPr>
          <w:p w14:paraId="7FC2D83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06ECBA1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4175D56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1EAB85F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【行政法规】《农药管理条例》第二十八条第二款 经营卫生用农药的，应当将卫生用农药与其他商品分柜销售；经营其他农药的，不得在农药经营场所内经营食品、食用农产品、饲料等。</w:t>
            </w:r>
          </w:p>
          <w:p w14:paraId="25C94BB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【行政法规】《农药管理条例》第五十八条 农药经营者有下列行为之一的，由县级以上地方人民政府农业主管部门责令改正；拒不改正或者情节严重的，处2000元以上2万元以下罚款，并由发证机关吊销农药经营许可证：</w:t>
            </w:r>
          </w:p>
          <w:p w14:paraId="775A28A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（一）不执行农药采购台账、销售台账制度；</w:t>
            </w:r>
          </w:p>
          <w:p w14:paraId="487DEB0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（二）在卫生用农药以外的农药经营场所内经营食品、食用农产品、饲料等；</w:t>
            </w:r>
          </w:p>
          <w:p w14:paraId="3841554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（三）未将卫生用农药与其他商品分柜销售；</w:t>
            </w:r>
          </w:p>
          <w:p w14:paraId="3550758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（四）不履行农药废弃物回收义务。</w:t>
            </w:r>
          </w:p>
        </w:tc>
        <w:tc>
          <w:tcPr>
            <w:tcW w:w="2017" w:type="dxa"/>
            <w:shd w:val="clear" w:color="auto" w:fill="auto"/>
            <w:noWrap w:val="0"/>
            <w:vAlign w:val="center"/>
          </w:tcPr>
          <w:p w14:paraId="32C92F6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9B25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432" w:type="dxa"/>
            <w:noWrap w:val="0"/>
            <w:vAlign w:val="center"/>
          </w:tcPr>
          <w:p w14:paraId="0A2404C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7</w:t>
            </w:r>
          </w:p>
        </w:tc>
        <w:tc>
          <w:tcPr>
            <w:tcW w:w="3112" w:type="dxa"/>
            <w:shd w:val="clear" w:color="auto" w:fill="auto"/>
            <w:noWrap w:val="0"/>
            <w:vAlign w:val="center"/>
          </w:tcPr>
          <w:p w14:paraId="453CCD0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农药经营者不履行农药废弃物回收义务的</w:t>
            </w:r>
          </w:p>
        </w:tc>
        <w:tc>
          <w:tcPr>
            <w:tcW w:w="2693" w:type="dxa"/>
            <w:shd w:val="clear" w:color="auto" w:fill="auto"/>
            <w:noWrap w:val="0"/>
            <w:vAlign w:val="center"/>
          </w:tcPr>
          <w:p w14:paraId="78589F2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2ABAEBA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083258A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28AD5AE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【行政法规】《农药管理条例》第三十七条 国家鼓励农药使用者妥善收集农药包装物等废弃物；农药生产企业、农药经营者应当回收农药废弃物，防止农药污染环境和农药中毒事故的发生。具体办法由国务院环境保护主管部门会同国务院农业主管部门、国务院财政部门等部门制定。</w:t>
            </w:r>
          </w:p>
          <w:p w14:paraId="5853E02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【行政法规】《农药管理条例》第五十八条 农药经营者有下列行为之一的，由县级以上地方人民政府农业主管部门责令改正；拒不改正或者情节严重的，处2000元以上2万元以下罚款，并由发证机关吊销农药经营许可证：</w:t>
            </w:r>
          </w:p>
          <w:p w14:paraId="0627941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（一）不执行农药采购台账、销售台账制度；</w:t>
            </w:r>
          </w:p>
          <w:p w14:paraId="5968F2B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（二）在卫生用农药以外的农药经营场所内经营食品、食用农产品、饲料等；</w:t>
            </w:r>
          </w:p>
          <w:p w14:paraId="534286C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（三）未将卫生用农药与其他商品分柜销售；</w:t>
            </w:r>
          </w:p>
          <w:p w14:paraId="29D12A7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（四）不履行农药废弃物回收义务。</w:t>
            </w:r>
          </w:p>
        </w:tc>
        <w:tc>
          <w:tcPr>
            <w:tcW w:w="2017" w:type="dxa"/>
            <w:shd w:val="clear" w:color="auto" w:fill="auto"/>
            <w:noWrap w:val="0"/>
            <w:vAlign w:val="center"/>
          </w:tcPr>
          <w:p w14:paraId="7CECA92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808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432" w:type="dxa"/>
            <w:noWrap w:val="0"/>
            <w:vAlign w:val="center"/>
          </w:tcPr>
          <w:p w14:paraId="1E12033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8</w:t>
            </w:r>
          </w:p>
        </w:tc>
        <w:tc>
          <w:tcPr>
            <w:tcW w:w="3112" w:type="dxa"/>
            <w:shd w:val="clear" w:color="auto" w:fill="auto"/>
            <w:noWrap w:val="0"/>
            <w:vAlign w:val="center"/>
          </w:tcPr>
          <w:p w14:paraId="0FAA733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农产品生产企业、食品和食用农产品仓储企业、专业化病虫害防治服务组织和从事农产品生产的农民专业合作社等不执行农药使用记录制度的</w:t>
            </w:r>
          </w:p>
        </w:tc>
        <w:tc>
          <w:tcPr>
            <w:tcW w:w="2693" w:type="dxa"/>
            <w:shd w:val="clear" w:color="auto" w:fill="auto"/>
            <w:noWrap w:val="0"/>
            <w:vAlign w:val="center"/>
          </w:tcPr>
          <w:p w14:paraId="349FC9B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316466A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2DC1C3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6C58310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【行政法规】《农药管理条例》第三十六条第一款 农产品生产企业、食品和食用农产品仓储企业、专业化病虫害防治服务组织和从事农产品生产的农民专业合作社等应当建立农药使用记录，如实记录使用农药的时间、地点、对象以及农药名称、用量、生产企业等。农药使用记录应当保存2年以上。</w:t>
            </w:r>
          </w:p>
          <w:p w14:paraId="75DA78A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【行政法规】《农药管理条例》第六十一条 农产品生产企业、食品和食用农产品仓储企业、专业化病虫害防治服务组织和从事农产品生产的农民专业合作社等不执行农药使用记录制度的，由县级人民政府农业主管部门责令改正；拒不改正或者情节严重的，处2000元以上2万元以下罚款。</w:t>
            </w:r>
          </w:p>
        </w:tc>
        <w:tc>
          <w:tcPr>
            <w:tcW w:w="2017" w:type="dxa"/>
            <w:shd w:val="clear" w:color="auto" w:fill="auto"/>
            <w:noWrap w:val="0"/>
            <w:vAlign w:val="center"/>
          </w:tcPr>
          <w:p w14:paraId="48FD57A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各市（区）农业农村局</w:t>
            </w:r>
          </w:p>
        </w:tc>
      </w:tr>
      <w:tr w14:paraId="56CC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432" w:type="dxa"/>
            <w:noWrap w:val="0"/>
            <w:vAlign w:val="center"/>
          </w:tcPr>
          <w:p w14:paraId="665550E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9</w:t>
            </w:r>
          </w:p>
        </w:tc>
        <w:tc>
          <w:tcPr>
            <w:tcW w:w="3112" w:type="dxa"/>
            <w:shd w:val="clear" w:color="auto" w:fill="auto"/>
            <w:noWrap w:val="0"/>
            <w:vAlign w:val="center"/>
          </w:tcPr>
          <w:p w14:paraId="07DE21A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种子生产经营者受委托生产种子未按规定备案的</w:t>
            </w:r>
          </w:p>
        </w:tc>
        <w:tc>
          <w:tcPr>
            <w:tcW w:w="2693" w:type="dxa"/>
            <w:shd w:val="clear" w:color="auto" w:fill="auto"/>
            <w:noWrap w:val="0"/>
            <w:vAlign w:val="center"/>
          </w:tcPr>
          <w:p w14:paraId="15C0C09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5F4D64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2.委托方具有农作物种子生产经营许可证，委托具有合法有效的书面委托协议，且受委托生产的种子符合质量要求；</w:t>
            </w:r>
          </w:p>
          <w:p w14:paraId="78898C6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2FC232C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【法律】《中华人民共和国种子法》第三十八条第一款 种子生产经营许可证的有效区域由发证机关在其管辖范围内确定。种子生产经营者在种子生产经营许可证载明的有效区域设立分支机构的，专门经营不再分装的包装种子的，或者受具有种子生产经营许可证的种子生产经营者以书面委托生产、代销其种子的，不需要办理种子生产经营许可证，但应当向当地农业农村、林业草原主管部门备案。</w:t>
            </w:r>
          </w:p>
          <w:p w14:paraId="1E4CEB6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【法律】《中华人民共和国种子法》第七十九条 违反本法第三十六条、第三十八条、第三十九条、第四十条规定，有下列行为之一的，由县级以上人民政府农业农村、林业草原主管部门责令改正，处二千元以上二万元以下罚款：</w:t>
            </w:r>
          </w:p>
          <w:p w14:paraId="128A4E4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（一）销售的种子应当包装而没有包装的；</w:t>
            </w:r>
          </w:p>
          <w:p w14:paraId="57FDDF8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（二）销售的种子没有使用说明或者标签内容不符合规定的；</w:t>
            </w:r>
          </w:p>
          <w:p w14:paraId="755EAD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（三）涂改标签的；</w:t>
            </w:r>
          </w:p>
          <w:p w14:paraId="6A41B43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（四）未按规定建立、保存种子生产经营档案的；</w:t>
            </w:r>
          </w:p>
          <w:p w14:paraId="5FCF108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（五）种子生产经营者在异地设立分支机构、专门经营不再分装的包装种子或者受委托生产、代销种子，未按规定备案的。</w:t>
            </w:r>
          </w:p>
        </w:tc>
        <w:tc>
          <w:tcPr>
            <w:tcW w:w="2017" w:type="dxa"/>
            <w:shd w:val="clear" w:color="auto" w:fill="auto"/>
            <w:noWrap w:val="0"/>
            <w:vAlign w:val="center"/>
          </w:tcPr>
          <w:p w14:paraId="2F4BA3C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1193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432" w:type="dxa"/>
            <w:noWrap w:val="0"/>
            <w:vAlign w:val="center"/>
          </w:tcPr>
          <w:p w14:paraId="751CEF6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10</w:t>
            </w:r>
          </w:p>
        </w:tc>
        <w:tc>
          <w:tcPr>
            <w:tcW w:w="3112" w:type="dxa"/>
            <w:shd w:val="clear" w:color="auto" w:fill="auto"/>
            <w:noWrap w:val="0"/>
            <w:vAlign w:val="center"/>
          </w:tcPr>
          <w:p w14:paraId="0F380EF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肥料生产经营者生产、销售的肥料包装上标签残缺不清的</w:t>
            </w:r>
          </w:p>
        </w:tc>
        <w:tc>
          <w:tcPr>
            <w:tcW w:w="2693" w:type="dxa"/>
            <w:shd w:val="clear" w:color="auto" w:fill="auto"/>
            <w:noWrap w:val="0"/>
            <w:vAlign w:val="center"/>
          </w:tcPr>
          <w:p w14:paraId="2C587A2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1.肥料产品合法；</w:t>
            </w:r>
          </w:p>
          <w:p w14:paraId="6CA5991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2.能够提供该肥料产品对应的合法合规肥料标签以及使用说明书；</w:t>
            </w:r>
          </w:p>
          <w:p w14:paraId="77C8548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55C87A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4.未造成危害后果。</w:t>
            </w:r>
          </w:p>
        </w:tc>
        <w:tc>
          <w:tcPr>
            <w:tcW w:w="5812" w:type="dxa"/>
            <w:shd w:val="clear" w:color="auto" w:fill="auto"/>
            <w:noWrap w:val="0"/>
            <w:vAlign w:val="center"/>
          </w:tcPr>
          <w:p w14:paraId="4C194C5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【部门规章】《肥料登记管理办法》第二十二条第一款 肥料产品包装应有标签、说明书和产品质量检验合格证。标签和使用说明书应当使用中文，并符合下列要求： </w:t>
            </w:r>
          </w:p>
          <w:p w14:paraId="106F8D7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（一）标明产品名称、生产企业名称和地址； </w:t>
            </w:r>
          </w:p>
          <w:p w14:paraId="0244389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（二）标明肥料登记证号、产品标准号、有效成分 名称和含量、净重、生产日期及质量保证期； </w:t>
            </w:r>
          </w:p>
          <w:p w14:paraId="0E7FF26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（三）标明产品适用作物、适用区域、使用方法和注意事项； </w:t>
            </w:r>
          </w:p>
          <w:p w14:paraId="0DB7A5F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（四）产品名称和推荐适用作物、区域应与登记批准的一致。</w:t>
            </w:r>
          </w:p>
          <w:p w14:paraId="496A888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【部门规章】《肥料登记管理办法》第二十七条 有下列情形之一的，由县级以上农业农村主管部门给予警告，并处违法所得3倍以下罚款，但最高不得超过 20000元； 没有违法所得的，处10000元以下罚款： </w:t>
            </w:r>
          </w:p>
          <w:p w14:paraId="1A3FB2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（一）转让肥料登记证或登记证号的； </w:t>
            </w:r>
          </w:p>
          <w:p w14:paraId="665F074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（二）登记证有效期满未经批准续展登记而继续生产该肥料产品的； </w:t>
            </w:r>
          </w:p>
          <w:p w14:paraId="01455EF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（三）生产、销售包装上未附标签、标签残缺不清或者擅自修改标签内容的。 </w:t>
            </w:r>
          </w:p>
        </w:tc>
        <w:tc>
          <w:tcPr>
            <w:tcW w:w="2017" w:type="dxa"/>
            <w:shd w:val="clear" w:color="auto" w:fill="auto"/>
            <w:noWrap w:val="0"/>
            <w:vAlign w:val="center"/>
          </w:tcPr>
          <w:p w14:paraId="656A889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1FE2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432" w:type="dxa"/>
            <w:noWrap w:val="0"/>
            <w:vAlign w:val="center"/>
          </w:tcPr>
          <w:p w14:paraId="6324A9C1">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11</w:t>
            </w:r>
          </w:p>
        </w:tc>
        <w:tc>
          <w:tcPr>
            <w:tcW w:w="3112" w:type="dxa"/>
            <w:shd w:val="clear" w:color="auto" w:fill="auto"/>
            <w:noWrap w:val="0"/>
            <w:vAlign w:val="center"/>
          </w:tcPr>
          <w:p w14:paraId="252F499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兽药的标签和说明书未经批准的</w:t>
            </w:r>
          </w:p>
        </w:tc>
        <w:tc>
          <w:tcPr>
            <w:tcW w:w="2693" w:type="dxa"/>
            <w:shd w:val="clear" w:color="auto" w:fill="auto"/>
            <w:noWrap w:val="0"/>
            <w:vAlign w:val="center"/>
          </w:tcPr>
          <w:p w14:paraId="4DFA559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B32740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1463BF6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6FB4D4C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【行政法规】《兽药管理条例》第二十条第二款 兽药的标签和说明书经国务院兽医行政管理部门批准并公布后，方可使用。</w:t>
            </w:r>
          </w:p>
          <w:p w14:paraId="524670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【行政法规】《兽药管理条例》第六十条第一款 违反本条例规定，兽药的标签和说明书未经批准的，责令其限期改正；逾期不改正的，按照生产、经营假兽药处罚；有兽药产品批准文号的，撤销兽药产品批准文号；给他人造成损失的，依法承担赔偿责任。</w:t>
            </w:r>
          </w:p>
        </w:tc>
        <w:tc>
          <w:tcPr>
            <w:tcW w:w="2017" w:type="dxa"/>
            <w:shd w:val="clear" w:color="auto" w:fill="auto"/>
            <w:noWrap w:val="0"/>
            <w:vAlign w:val="center"/>
          </w:tcPr>
          <w:p w14:paraId="21E9DC4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1171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432" w:type="dxa"/>
            <w:noWrap w:val="0"/>
            <w:vAlign w:val="center"/>
          </w:tcPr>
          <w:p w14:paraId="07879C87">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12</w:t>
            </w:r>
          </w:p>
        </w:tc>
        <w:tc>
          <w:tcPr>
            <w:tcW w:w="3112" w:type="dxa"/>
            <w:shd w:val="clear" w:color="auto" w:fill="auto"/>
            <w:noWrap w:val="0"/>
            <w:vAlign w:val="center"/>
          </w:tcPr>
          <w:p w14:paraId="1925CB9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兽药包装上未附有标签和说明书，或者标签和说明书与批准的内容不一致的</w:t>
            </w:r>
          </w:p>
        </w:tc>
        <w:tc>
          <w:tcPr>
            <w:tcW w:w="2693" w:type="dxa"/>
            <w:shd w:val="clear" w:color="auto" w:fill="auto"/>
            <w:noWrap w:val="0"/>
            <w:vAlign w:val="center"/>
          </w:tcPr>
          <w:p w14:paraId="697419C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2D5E425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555FE51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209BED5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【行政法规】《兽药管理条例》第二十条第一款 兽药包装应当按照规定印有或者贴有标签，附具说明书，并在显著位置注明“兽用”字样。</w:t>
            </w:r>
          </w:p>
          <w:p w14:paraId="058960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【行政法规】《兽药管理条例》第六十条第二款 兽药包装上未附有标签和说明书，或者标签和说明书与批准的内容不一致的，责令其限期改正；情节严重的，依照前款规定处罚。</w:t>
            </w:r>
          </w:p>
        </w:tc>
        <w:tc>
          <w:tcPr>
            <w:tcW w:w="2017" w:type="dxa"/>
            <w:shd w:val="clear" w:color="auto" w:fill="auto"/>
            <w:noWrap w:val="0"/>
            <w:vAlign w:val="center"/>
          </w:tcPr>
          <w:p w14:paraId="688F124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130A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32" w:type="dxa"/>
            <w:noWrap w:val="0"/>
            <w:vAlign w:val="center"/>
          </w:tcPr>
          <w:p w14:paraId="44F589DF">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13</w:t>
            </w:r>
          </w:p>
        </w:tc>
        <w:tc>
          <w:tcPr>
            <w:tcW w:w="3112" w:type="dxa"/>
            <w:shd w:val="clear" w:color="auto" w:fill="auto"/>
            <w:noWrap w:val="0"/>
            <w:vAlign w:val="center"/>
          </w:tcPr>
          <w:p w14:paraId="46FEAE5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兽药使用单位未建立用药记录或者记录不完整真实的</w:t>
            </w:r>
          </w:p>
        </w:tc>
        <w:tc>
          <w:tcPr>
            <w:tcW w:w="2693" w:type="dxa"/>
            <w:shd w:val="clear" w:color="auto" w:fill="auto"/>
            <w:noWrap w:val="0"/>
            <w:vAlign w:val="center"/>
          </w:tcPr>
          <w:p w14:paraId="30CE144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2ECF45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641D0F1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3.未造成危害后果。</w:t>
            </w:r>
          </w:p>
        </w:tc>
        <w:tc>
          <w:tcPr>
            <w:tcW w:w="5812" w:type="dxa"/>
            <w:shd w:val="clear" w:color="auto" w:fill="auto"/>
            <w:noWrap w:val="0"/>
            <w:vAlign w:val="center"/>
          </w:tcPr>
          <w:p w14:paraId="62A06D3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【行政法规】《兽药管理条例》第三十八条 兽药使用单位，应当遵守国务院兽医行政管理部门制定的兽药安全使用规定，并建立用药记录。</w:t>
            </w:r>
          </w:p>
          <w:p w14:paraId="3945754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【行政法规】《兽药管理条例》第六十二条 违反本条例规定，未按照国家有关兽药安全使用规定使用兽药的、未建立用药记录或者记录不完整真实的，或者使用禁止使用的药品和其他化合物的，或者将人用药品用于动物的，责令其立即改正，并对饲喂了违禁药物及其他化合物的动物及其产品进行无害化处理；对违法单位处1万元以上5万元以下罚款；给他人造成损失的，依法承担赔偿责任。</w:t>
            </w:r>
          </w:p>
        </w:tc>
        <w:tc>
          <w:tcPr>
            <w:tcW w:w="2017" w:type="dxa"/>
            <w:shd w:val="clear" w:color="auto" w:fill="auto"/>
            <w:noWrap w:val="0"/>
            <w:vAlign w:val="center"/>
          </w:tcPr>
          <w:p w14:paraId="4C08471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859E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3" w:hRule="atLeast"/>
        </w:trPr>
        <w:tc>
          <w:tcPr>
            <w:tcW w:w="432" w:type="dxa"/>
            <w:noWrap w:val="0"/>
            <w:vAlign w:val="center"/>
          </w:tcPr>
          <w:p w14:paraId="5329070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14</w:t>
            </w:r>
          </w:p>
        </w:tc>
        <w:tc>
          <w:tcPr>
            <w:tcW w:w="3112" w:type="dxa"/>
            <w:shd w:val="clear" w:color="auto" w:fill="auto"/>
            <w:noWrap w:val="0"/>
            <w:vAlign w:val="center"/>
          </w:tcPr>
          <w:p w14:paraId="640530F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动物诊疗机构、动物园、科研机构将人用药品用于非食用动物的</w:t>
            </w:r>
          </w:p>
        </w:tc>
        <w:tc>
          <w:tcPr>
            <w:tcW w:w="2693" w:type="dxa"/>
            <w:shd w:val="clear" w:color="auto" w:fill="auto"/>
            <w:noWrap w:val="0"/>
            <w:vAlign w:val="center"/>
          </w:tcPr>
          <w:p w14:paraId="658E76E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1.动物诊疗机构将人用药品用于宠物，或者科研机构、动物园将人用药品用于科研、展示、演出、比赛等非食用的动物；</w:t>
            </w:r>
          </w:p>
          <w:p w14:paraId="3A69898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2.因动物疾病治疗需要，使用《宠物临床急需使用的人用药品目录》内的人用药品；</w:t>
            </w:r>
          </w:p>
          <w:p w14:paraId="6E3C50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3.动物所有者对使用人用药品知情并同意；</w:t>
            </w:r>
          </w:p>
          <w:p w14:paraId="3394A52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4.药品使用记录真实、完整；</w:t>
            </w:r>
          </w:p>
          <w:p w14:paraId="7C4FC00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5.未造成危害后果；</w:t>
            </w:r>
          </w:p>
          <w:p w14:paraId="7CB40A6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6.及时改正。</w:t>
            </w:r>
          </w:p>
        </w:tc>
        <w:tc>
          <w:tcPr>
            <w:tcW w:w="5812" w:type="dxa"/>
            <w:shd w:val="clear" w:color="auto" w:fill="auto"/>
            <w:noWrap w:val="0"/>
            <w:vAlign w:val="center"/>
          </w:tcPr>
          <w:p w14:paraId="322AD1F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【行政法规】《兽药管理条例》第四十一条第四款 禁止将人用药品用于动物。</w:t>
            </w:r>
          </w:p>
          <w:p w14:paraId="652316C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【行政法规】《兽药管理条例》第六十二条 违反本条例规定，未按照国家有关兽药安全使用规定使用兽药的、未建立用药记录或者记录不完整真实的，或者使用禁止使用的药品和其他化合物的，或者将人用药品用于动物的，责令其立即改正，并对饲喂了违禁药物及其他化合物的动物及其产品进行无害化处理；对违法单位处1万元以上5万元以下罚款；给他人造成损失的，依法承担赔偿责任。</w:t>
            </w:r>
          </w:p>
        </w:tc>
        <w:tc>
          <w:tcPr>
            <w:tcW w:w="2017" w:type="dxa"/>
            <w:shd w:val="clear" w:color="auto" w:fill="auto"/>
            <w:noWrap w:val="0"/>
            <w:vAlign w:val="center"/>
          </w:tcPr>
          <w:p w14:paraId="0E26909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4A5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trPr>
        <w:tc>
          <w:tcPr>
            <w:tcW w:w="432" w:type="dxa"/>
            <w:noWrap w:val="0"/>
            <w:vAlign w:val="center"/>
          </w:tcPr>
          <w:p w14:paraId="5B8BD7F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15</w:t>
            </w:r>
          </w:p>
        </w:tc>
        <w:tc>
          <w:tcPr>
            <w:tcW w:w="3112" w:type="dxa"/>
            <w:shd w:val="clear" w:color="auto" w:fill="auto"/>
            <w:noWrap w:val="0"/>
            <w:vAlign w:val="center"/>
          </w:tcPr>
          <w:p w14:paraId="795E239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饲料、饲料添加剂生产企业未按规定实行采购、生产、销售记录制度的</w:t>
            </w:r>
          </w:p>
        </w:tc>
        <w:tc>
          <w:tcPr>
            <w:tcW w:w="2693" w:type="dxa"/>
            <w:shd w:val="clear" w:color="auto" w:fill="auto"/>
            <w:noWrap w:val="0"/>
            <w:vAlign w:val="center"/>
          </w:tcPr>
          <w:p w14:paraId="63AFDEB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645151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56A653B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3.未造成危害后果。</w:t>
            </w:r>
          </w:p>
        </w:tc>
        <w:tc>
          <w:tcPr>
            <w:tcW w:w="5812" w:type="dxa"/>
            <w:shd w:val="clear" w:color="auto" w:fill="auto"/>
            <w:noWrap w:val="0"/>
            <w:vAlign w:val="center"/>
          </w:tcPr>
          <w:p w14:paraId="2745E44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【行政法规】《饲料和饲料添加剂管理条例》第十七条第三款 饲料、饲料添加剂生产企业应当如实记录采购的饲料原料、单一饲料、饲料添加剂、药物饲料添加剂、添加剂预混合饲料和用于饲料添加剂生产的原料的名称、产地、数量、保质期、许可证明文件编号、质量检验信息、生产企业名称或者供货者名称及其联系方式、进货日期等。记录保存期限不得少于2年。</w:t>
            </w:r>
          </w:p>
          <w:p w14:paraId="36FF80C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【行政法规】《饲料和饲料添加剂管理条例》第十八条 饲料、饲料添加剂生产企业，应当按照产品质量标准以及国务院农业行政主管部门制定的饲料、饲料添加剂质量安全管理规范和饲料添加剂安全使用规范组织生产，对生产过程实施有效控制并实行生产记录和产品留样观察制度。</w:t>
            </w:r>
          </w:p>
          <w:p w14:paraId="6D3693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【行政法规】《饲料和饲料添加剂管理条例》第十九条第二款 饲料、饲料添加剂生产企业应当如实记录出厂销售的饲料、饲料添加剂的名称、数量、生产日期、生产批次、质量检验信息、购货者名称及其联系方式、销售日期等。记录保存期限不得少于2年。</w:t>
            </w:r>
          </w:p>
          <w:p w14:paraId="7B0635E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【行政法规】《饲料和饲料添加剂管理条例》第四十一条第一款 饲料、饲料添加剂生产企业不依照本条例规定实行采购、生产、销售记录制度或者产品留样观察制度的，由县级以上地方人民政府饲料管理部门责令改正，处1万元以上2万元以下罚款；拒不改正的，没收违法所得、违法生产的产品和用于违法生产饲料的饲料原料、单一饲料、饲料添加剂、药物饲料添加剂、添加剂预混合饲料以及用于违法生产饲料添加剂的原料，处2万元以上5万元以下罚款，并可以由发证机关吊销、撤销相关许可证明文件。</w:t>
            </w:r>
          </w:p>
        </w:tc>
        <w:tc>
          <w:tcPr>
            <w:tcW w:w="2017" w:type="dxa"/>
            <w:shd w:val="clear" w:color="auto" w:fill="auto"/>
            <w:noWrap w:val="0"/>
            <w:vAlign w:val="center"/>
          </w:tcPr>
          <w:p w14:paraId="07F872D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1D5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432" w:type="dxa"/>
            <w:noWrap w:val="0"/>
            <w:vAlign w:val="center"/>
          </w:tcPr>
          <w:p w14:paraId="1C4DBC2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16</w:t>
            </w:r>
          </w:p>
        </w:tc>
        <w:tc>
          <w:tcPr>
            <w:tcW w:w="3112" w:type="dxa"/>
            <w:shd w:val="clear" w:color="auto" w:fill="auto"/>
            <w:noWrap w:val="0"/>
            <w:vAlign w:val="center"/>
          </w:tcPr>
          <w:p w14:paraId="331178A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饲料、饲料添加剂生产企业未按规定实行留样观察制度的</w:t>
            </w:r>
          </w:p>
        </w:tc>
        <w:tc>
          <w:tcPr>
            <w:tcW w:w="2693" w:type="dxa"/>
            <w:shd w:val="clear" w:color="auto" w:fill="auto"/>
            <w:noWrap w:val="0"/>
            <w:vAlign w:val="center"/>
          </w:tcPr>
          <w:p w14:paraId="0CF9BAF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1.已建立留样观察制度并实施留样观察，仅留样观察记录不规范；</w:t>
            </w:r>
          </w:p>
          <w:p w14:paraId="34D8B3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2.初次违法；</w:t>
            </w:r>
          </w:p>
          <w:p w14:paraId="089CE4E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52455B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4.未造成危害后果。</w:t>
            </w:r>
          </w:p>
        </w:tc>
        <w:tc>
          <w:tcPr>
            <w:tcW w:w="5812" w:type="dxa"/>
            <w:shd w:val="clear" w:color="auto" w:fill="auto"/>
            <w:noWrap w:val="0"/>
            <w:vAlign w:val="center"/>
          </w:tcPr>
          <w:p w14:paraId="16DED16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【行政法规】《饲料和饲料添加剂管理条例》第十八条 饲料、饲料添加剂生产企业，应当按照产品质量标准以及国务院农业行政主管部门制定的饲料、饲料添加剂质量安全管理规范和饲料添加剂安全使用规范组织生产，对生产过程实施有效控制并实行生产记录和产品留样观察制度。</w:t>
            </w:r>
          </w:p>
          <w:p w14:paraId="13157E6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【行政法规】《饲料和饲料添加剂管理条例》第四十一条第一款 饲料、饲料添加剂生产企业不依照本条例规定实行采购、生产、销售记录制度或者产品留样观察制度的，由县级以上地方人民政府饲料管理部门责令改正，处1万元以上2万元以下罚款；拒不改正的，没收违法所得、违法生产的产品和用于违法生产饲料的饲料原料、单一饲料、饲料添加剂、药物饲料添加剂、添加剂预混合饲料以及用于违法生产饲料添加剂的原料，处2万元以上5万元以下罚款，并可以由发证机关吊销、撤销相关许可证明文件。</w:t>
            </w:r>
          </w:p>
        </w:tc>
        <w:tc>
          <w:tcPr>
            <w:tcW w:w="2017" w:type="dxa"/>
            <w:shd w:val="clear" w:color="auto" w:fill="auto"/>
            <w:noWrap w:val="0"/>
            <w:vAlign w:val="center"/>
          </w:tcPr>
          <w:p w14:paraId="4A087C1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7CE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atLeast"/>
        </w:trPr>
        <w:tc>
          <w:tcPr>
            <w:tcW w:w="432" w:type="dxa"/>
            <w:noWrap w:val="0"/>
            <w:vAlign w:val="center"/>
          </w:tcPr>
          <w:p w14:paraId="425B67A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17</w:t>
            </w:r>
          </w:p>
        </w:tc>
        <w:tc>
          <w:tcPr>
            <w:tcW w:w="3112" w:type="dxa"/>
            <w:shd w:val="clear" w:color="auto" w:fill="auto"/>
            <w:noWrap w:val="0"/>
            <w:vAlign w:val="center"/>
          </w:tcPr>
          <w:p w14:paraId="4957B00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饲料、饲料添加剂生产企业销售的饲料、饲料添加剂未附具产品质量检验合格证或者包装、标签不符合规定的</w:t>
            </w:r>
          </w:p>
        </w:tc>
        <w:tc>
          <w:tcPr>
            <w:tcW w:w="2693" w:type="dxa"/>
            <w:shd w:val="clear" w:color="auto" w:fill="auto"/>
            <w:noWrap w:val="0"/>
            <w:vAlign w:val="center"/>
          </w:tcPr>
          <w:p w14:paraId="41525D8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19776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2F0EE8E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2FE37C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【行政法规】《饲料和饲料添加剂管理条例》第十九条 饲料、饲料添加剂生产企业应当对生产的饲料、饲料添加剂进行产品质量检验；检验合格的，应当附具产品质量检验合格证。未经产品质量检验、检验不合格或者未附具产品质量检验合格证的，不得出厂销售。饲料、饲料添加剂生产企业应当如实记录出厂销售的饲料、饲料添加剂的名称、数量、生产日期、生产批次、质量检验信息、购货者名称及其联系方式、销售日期等。记录保存期限不得少于2年。</w:t>
            </w:r>
          </w:p>
          <w:p w14:paraId="7362EF4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【行政法规】《饲料和饲料添加剂管理条例》第二十条 出厂销售的饲料、饲料添加剂应当包装，包装应当符合国家有关安全、卫生的规定。饲料生产企业直接销售给养殖者的饲料可以使用罐装车运输。罐装车应当符合国家有关安全、卫生的规定，并随罐装车附具符合本条例第二十一条规定的标签。易燃或者其他特殊的饲料、饲料添加剂的包装应当有警示标志或者说明，并注明储运注意事项。</w:t>
            </w:r>
          </w:p>
          <w:p w14:paraId="689C4BC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【行政法规】《饲料和饲料添加剂管理条例》第二十一条 饲料、饲料添加剂的包装上应当附具标签。</w:t>
            </w:r>
          </w:p>
          <w:p w14:paraId="15BD7F8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标签应当以中文或者适用符号标明产品名称、原料组成、产品成分分析保证值、净重或者净含量、贮存条件、使用说明、注意事项、生产日期、保质期、生产企业名称以及地址、许可证明文件编号和产品质量标准等。加入药物饲料添加剂的，还应当标明“加入药物饲料添加剂”字样，并标明其通用名称、含量和休药期。乳和乳制品以外的动物源性饲料，还应当标明“本产品不得饲喂反刍动物”字样。</w:t>
            </w:r>
          </w:p>
          <w:p w14:paraId="6242A60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【行政法规】《饲料和饲料添加剂管理条例》第四十一条第二款 饲料、饲料添加剂生产企业销售的饲料、饲料添加剂未附具产品质量检验合格证或者包装、标签不符合规定的，由县级以上地方人民政府饲料管理部门责令改正；情节严重的，没收违法所得和违法销售的产品，可以处违法销售的产品货值金额30%以下罚款。</w:t>
            </w:r>
          </w:p>
        </w:tc>
        <w:tc>
          <w:tcPr>
            <w:tcW w:w="2017" w:type="dxa"/>
            <w:shd w:val="clear" w:color="auto" w:fill="auto"/>
            <w:noWrap w:val="0"/>
            <w:vAlign w:val="center"/>
          </w:tcPr>
          <w:p w14:paraId="3E1185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591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432" w:type="dxa"/>
            <w:noWrap w:val="0"/>
            <w:vAlign w:val="center"/>
          </w:tcPr>
          <w:p w14:paraId="4D2837B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18</w:t>
            </w:r>
          </w:p>
        </w:tc>
        <w:tc>
          <w:tcPr>
            <w:tcW w:w="3112" w:type="dxa"/>
            <w:shd w:val="clear" w:color="auto" w:fill="auto"/>
            <w:noWrap w:val="0"/>
            <w:vAlign w:val="center"/>
          </w:tcPr>
          <w:p w14:paraId="6110F64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饲料、饲料添加剂经营者不符合规定条件经营饲料、饲料添加剂的</w:t>
            </w:r>
          </w:p>
        </w:tc>
        <w:tc>
          <w:tcPr>
            <w:tcW w:w="2693" w:type="dxa"/>
            <w:shd w:val="clear" w:color="auto" w:fill="auto"/>
            <w:noWrap w:val="0"/>
            <w:vAlign w:val="center"/>
          </w:tcPr>
          <w:p w14:paraId="2D75599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391693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4436F5B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2FAFF43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【行政法规】《饲料和饲料添加剂管理条例》第二十二条 饲料、饲料添加剂经营者应当符合下列条件：</w:t>
            </w:r>
          </w:p>
          <w:p w14:paraId="7C754EA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（一）有与经营饲料、饲料添加剂相适应的经营场所和仓储设施；</w:t>
            </w:r>
          </w:p>
          <w:p w14:paraId="3FCC012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（二）有具备饲料、饲料添加剂使用、贮存等知识的技术人员；</w:t>
            </w:r>
          </w:p>
          <w:p w14:paraId="451458A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（三）有必要的产品质量管理和安全管理制度。</w:t>
            </w:r>
          </w:p>
          <w:p w14:paraId="295D4B2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第四十二条 不符合本条例第二十二条规定的条件经营饲料、饲料添加剂的，由县级人民政府饲料管理部门责令限期改正；逾期不改正的，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w:t>
            </w:r>
          </w:p>
        </w:tc>
        <w:tc>
          <w:tcPr>
            <w:tcW w:w="2017" w:type="dxa"/>
            <w:shd w:val="clear" w:color="auto" w:fill="auto"/>
            <w:noWrap w:val="0"/>
            <w:vAlign w:val="center"/>
          </w:tcPr>
          <w:p w14:paraId="20207E1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各市（区）农业农村局</w:t>
            </w:r>
          </w:p>
        </w:tc>
      </w:tr>
      <w:tr w14:paraId="1ABE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432" w:type="dxa"/>
            <w:noWrap w:val="0"/>
            <w:vAlign w:val="center"/>
          </w:tcPr>
          <w:p w14:paraId="1F78D7A7">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19</w:t>
            </w:r>
          </w:p>
        </w:tc>
        <w:tc>
          <w:tcPr>
            <w:tcW w:w="3112" w:type="dxa"/>
            <w:shd w:val="clear" w:color="auto" w:fill="auto"/>
            <w:noWrap w:val="0"/>
            <w:vAlign w:val="center"/>
          </w:tcPr>
          <w:p w14:paraId="17DA579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饲料、饲料添加剂经营者未按规定实行产品购销台账制度的</w:t>
            </w:r>
          </w:p>
        </w:tc>
        <w:tc>
          <w:tcPr>
            <w:tcW w:w="2693" w:type="dxa"/>
            <w:shd w:val="clear" w:color="auto" w:fill="auto"/>
            <w:noWrap w:val="0"/>
            <w:vAlign w:val="center"/>
          </w:tcPr>
          <w:p w14:paraId="5F5DDEE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157F0A1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2.台账记录不完整、不规范或者保存期少于2年；</w:t>
            </w:r>
          </w:p>
          <w:p w14:paraId="50EEC5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3.未对饲料、饲料添加剂产品追溯产生阻碍的；</w:t>
            </w:r>
          </w:p>
          <w:p w14:paraId="1726D5C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4.及时改正。</w:t>
            </w:r>
          </w:p>
        </w:tc>
        <w:tc>
          <w:tcPr>
            <w:tcW w:w="5812" w:type="dxa"/>
            <w:shd w:val="clear" w:color="auto" w:fill="auto"/>
            <w:noWrap w:val="0"/>
            <w:vAlign w:val="center"/>
          </w:tcPr>
          <w:p w14:paraId="5AA0177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【行政法规】《饲料和饲料添加剂管理条例》第二十三条第四款 饲料、饲料添加剂经营者应当建立产品购销台账，如实记录购销产品的名称、许可证明文件编号、规格、数量、保质期、生产企业名称或者供货者名称及其联系方式、购销时间等。购销台账保存期限不得少于2年。</w:t>
            </w:r>
          </w:p>
          <w:p w14:paraId="6CEBC36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【行政法规】《饲料和饲料添加剂管理条例》第四十四条 饲料、饲料添加剂经营者有下列行为之一的，由县级人民政府饲料管理部门责令改正，没收违法所得和违法经营的产品，并处2000元以上1万元以下罚款：</w:t>
            </w:r>
          </w:p>
          <w:p w14:paraId="775F222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（一）对饲料、饲料添加剂进行拆包、分装的；</w:t>
            </w:r>
          </w:p>
          <w:p w14:paraId="25DEB9A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（二）不依照本条例规定实行产品购销台账制度的；</w:t>
            </w:r>
          </w:p>
          <w:p w14:paraId="78B8B9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（三）经营的饲料、饲料添加剂失效、霉变或者超过保质期的。</w:t>
            </w:r>
          </w:p>
        </w:tc>
        <w:tc>
          <w:tcPr>
            <w:tcW w:w="2017" w:type="dxa"/>
            <w:shd w:val="clear" w:color="auto" w:fill="auto"/>
            <w:noWrap w:val="0"/>
            <w:vAlign w:val="center"/>
          </w:tcPr>
          <w:p w14:paraId="38767D6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各市（区）农业农村局</w:t>
            </w:r>
          </w:p>
        </w:tc>
      </w:tr>
      <w:tr w14:paraId="2E60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432" w:type="dxa"/>
            <w:noWrap w:val="0"/>
            <w:vAlign w:val="center"/>
          </w:tcPr>
          <w:p w14:paraId="0929FFC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20</w:t>
            </w:r>
          </w:p>
        </w:tc>
        <w:tc>
          <w:tcPr>
            <w:tcW w:w="3112" w:type="dxa"/>
            <w:shd w:val="clear" w:color="auto" w:fill="auto"/>
            <w:noWrap w:val="0"/>
            <w:vAlign w:val="center"/>
          </w:tcPr>
          <w:p w14:paraId="628B655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违反农业转基因生物标识管理规定的</w:t>
            </w:r>
          </w:p>
        </w:tc>
        <w:tc>
          <w:tcPr>
            <w:tcW w:w="2693" w:type="dxa"/>
            <w:shd w:val="clear" w:color="auto" w:fill="auto"/>
            <w:noWrap w:val="0"/>
            <w:vAlign w:val="center"/>
          </w:tcPr>
          <w:p w14:paraId="0B8DE6F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0443E5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4F920B5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4B28B96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【行政法规】《农业转基因生物安全管理条例》</w:t>
            </w:r>
          </w:p>
          <w:p w14:paraId="72E07A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第二十八条 农业转基因生物标识应当载明产品中含有转基因成分的主要原料名称；有特殊销售范围要求的，还应当载明销售范围，并在指定范围内销售。</w:t>
            </w:r>
          </w:p>
          <w:p w14:paraId="3FBA5F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【行政法规】《农业转基因生物安全管理条例》</w:t>
            </w:r>
          </w:p>
          <w:p w14:paraId="4728C64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第五十条 违反本条例关于农业转基因生物标识管理规定的，由县级以上人民政府农业行政主管部门依据职权，责令限期改正，可以没收非法销售的产品和违法所得，并可以处1万元以上5万元以下的罚款。</w:t>
            </w:r>
          </w:p>
        </w:tc>
        <w:tc>
          <w:tcPr>
            <w:tcW w:w="2017" w:type="dxa"/>
            <w:shd w:val="clear" w:color="auto" w:fill="auto"/>
            <w:noWrap w:val="0"/>
            <w:vAlign w:val="center"/>
          </w:tcPr>
          <w:p w14:paraId="7C7D42F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50C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trPr>
        <w:tc>
          <w:tcPr>
            <w:tcW w:w="432" w:type="dxa"/>
            <w:noWrap w:val="0"/>
            <w:vAlign w:val="center"/>
          </w:tcPr>
          <w:p w14:paraId="0A9C344E">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21</w:t>
            </w:r>
          </w:p>
        </w:tc>
        <w:tc>
          <w:tcPr>
            <w:tcW w:w="3112" w:type="dxa"/>
            <w:shd w:val="clear" w:color="auto" w:fill="auto"/>
            <w:noWrap w:val="0"/>
            <w:vAlign w:val="center"/>
          </w:tcPr>
          <w:p w14:paraId="21DDFED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农业投入品经营者未建立或者未按照规定保存农业投入品经营档案或者伪造农业投入品经营档案的</w:t>
            </w:r>
          </w:p>
        </w:tc>
        <w:tc>
          <w:tcPr>
            <w:tcW w:w="2693" w:type="dxa"/>
            <w:shd w:val="clear" w:color="auto" w:fill="auto"/>
            <w:noWrap w:val="0"/>
            <w:vAlign w:val="center"/>
          </w:tcPr>
          <w:p w14:paraId="33DEC55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4954991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7FC8FC5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6F92C5D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【地方性法规】《江苏省农产品质量安全条例》第十六条 农业投入品经营者应当建立农业投入品经营档案，记载其经营的农业投入品名称、进货来源、进货日期、进货数量、生产企业、生产日期、批准文号、销售日期、销售去向、销售数量、销售人员等内容。</w:t>
            </w:r>
          </w:p>
          <w:p w14:paraId="00B697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农业投入品经营档案保存期限不得少于二年。禁止伪造农业投入品经营档案。</w:t>
            </w:r>
          </w:p>
          <w:p w14:paraId="3B5233C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【地方性法规】《江苏省农产品质量安全条例》</w:t>
            </w:r>
          </w:p>
          <w:p w14:paraId="71F824E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第四十二条 违反本条例第十六条规定，农业投入品经营者未建立或者未按照规定保存农业投入品经营档案，或者伪造农业投入品经营档案的，由县级以上地方人民政府农业农村行政主管部门责令限期改正；逾期不改正的，处以五百元以上二千元以下罚款。</w:t>
            </w:r>
          </w:p>
        </w:tc>
        <w:tc>
          <w:tcPr>
            <w:tcW w:w="2017" w:type="dxa"/>
            <w:shd w:val="clear" w:color="auto" w:fill="auto"/>
            <w:noWrap w:val="0"/>
            <w:vAlign w:val="center"/>
          </w:tcPr>
          <w:p w14:paraId="607AC2D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712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432" w:type="dxa"/>
            <w:noWrap w:val="0"/>
            <w:vAlign w:val="center"/>
          </w:tcPr>
          <w:p w14:paraId="699CF927">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22</w:t>
            </w:r>
          </w:p>
        </w:tc>
        <w:tc>
          <w:tcPr>
            <w:tcW w:w="3112" w:type="dxa"/>
            <w:shd w:val="clear" w:color="auto" w:fill="auto"/>
            <w:noWrap w:val="0"/>
            <w:vAlign w:val="center"/>
          </w:tcPr>
          <w:p w14:paraId="434EF0E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农产品生产企业、农民专业合作社、农业社会化服务组织未建立或者未按照规定保存农产品生产记录的，或者伪造农产品生产记录的</w:t>
            </w:r>
          </w:p>
        </w:tc>
        <w:tc>
          <w:tcPr>
            <w:tcW w:w="2693" w:type="dxa"/>
            <w:shd w:val="clear" w:color="auto" w:fill="auto"/>
            <w:noWrap w:val="0"/>
            <w:vAlign w:val="center"/>
          </w:tcPr>
          <w:p w14:paraId="1DE0117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19D33D2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79FE39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5C5D093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【法律】《中华人民共和国农产品质量安全法》</w:t>
            </w:r>
          </w:p>
          <w:p w14:paraId="7443D55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第二十七条第一款 农产品生产企业、农民专业合作社、农业社会化服务组织应当建立农产品生产记录，如实记载下列事项：</w:t>
            </w:r>
          </w:p>
          <w:p w14:paraId="5475336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（一）使用农业投入品的名称、来源、用法、用量和使用、停用的日期；</w:t>
            </w:r>
          </w:p>
          <w:p w14:paraId="485CF2C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（二）动物疫病、农作物病虫害的发生和防治情况；</w:t>
            </w:r>
          </w:p>
          <w:p w14:paraId="5E3C94C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（三）收获、屠宰或者捕捞的日期。</w:t>
            </w:r>
          </w:p>
          <w:p w14:paraId="3201FD3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【法律】《中华人民共和国农产品质量安全法》</w:t>
            </w:r>
          </w:p>
          <w:p w14:paraId="7431CEA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第二十七条第二款 农产品生产记录应当至少保存二年。禁止伪造、变造农产品生产记录。</w:t>
            </w:r>
          </w:p>
          <w:p w14:paraId="5545EDB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【法律】《中华人民共和国农产品质量安全法》</w:t>
            </w:r>
          </w:p>
          <w:p w14:paraId="1A8B852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第六十九条 农产品生产企业、农民专业合作社、农业社会化服务组织未依照本法规定建立、保存农产品生产记录，或者伪造、变造农产品生产记录的，由县级以上地方人民政府农业农村主管部门责令限期改正；逾期不改正的，处二千元以上二万元以下罚款。</w:t>
            </w:r>
          </w:p>
        </w:tc>
        <w:tc>
          <w:tcPr>
            <w:tcW w:w="2017" w:type="dxa"/>
            <w:shd w:val="clear" w:color="auto" w:fill="auto"/>
            <w:noWrap w:val="0"/>
            <w:vAlign w:val="center"/>
          </w:tcPr>
          <w:p w14:paraId="4823688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C04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6645CC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23</w:t>
            </w:r>
          </w:p>
        </w:tc>
        <w:tc>
          <w:tcPr>
            <w:tcW w:w="3112" w:type="dxa"/>
            <w:shd w:val="clear" w:color="auto" w:fill="auto"/>
            <w:noWrap w:val="0"/>
            <w:vAlign w:val="center"/>
          </w:tcPr>
          <w:p w14:paraId="3BC009C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擅自移动、损毁禁止生产区标牌的</w:t>
            </w:r>
          </w:p>
        </w:tc>
        <w:tc>
          <w:tcPr>
            <w:tcW w:w="2693" w:type="dxa"/>
            <w:shd w:val="clear" w:color="auto" w:fill="auto"/>
            <w:noWrap w:val="0"/>
            <w:vAlign w:val="center"/>
          </w:tcPr>
          <w:p w14:paraId="785EE4F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C63893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246BF91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3.恢复原状。</w:t>
            </w:r>
          </w:p>
        </w:tc>
        <w:tc>
          <w:tcPr>
            <w:tcW w:w="5812" w:type="dxa"/>
            <w:shd w:val="clear" w:color="auto" w:fill="auto"/>
            <w:noWrap w:val="0"/>
            <w:vAlign w:val="center"/>
          </w:tcPr>
          <w:p w14:paraId="64148C0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【部门规章】《农产品产地安全管理办法》第十一条 县级人民政府农业行政主管部门应当在禁止生产区设置标示牌，载明禁止生产区地点、四至范围、面积、禁止生产的农产品种类、主要污染物种类、批准单位、立牌日期等。</w:t>
            </w:r>
          </w:p>
          <w:p w14:paraId="4CAC08C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任何单位和个人不得擅自移动和损毁标示牌。</w:t>
            </w:r>
          </w:p>
          <w:p w14:paraId="77F22B3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【部门规章】《农产品产地安全管理办法》第二十六条第二款 违反本办法规定，擅自移动、损毁禁止生产区标牌的，由县级以上地方人民政府农业行政主管部门责令限期改正，可处以一千元以下罚款。</w:t>
            </w:r>
          </w:p>
        </w:tc>
        <w:tc>
          <w:tcPr>
            <w:tcW w:w="2017" w:type="dxa"/>
            <w:shd w:val="clear" w:color="auto" w:fill="auto"/>
            <w:noWrap w:val="0"/>
            <w:vAlign w:val="center"/>
          </w:tcPr>
          <w:p w14:paraId="3685E37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4DDF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08DFB43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24</w:t>
            </w:r>
          </w:p>
        </w:tc>
        <w:tc>
          <w:tcPr>
            <w:tcW w:w="3112" w:type="dxa"/>
            <w:shd w:val="clear" w:color="auto" w:fill="auto"/>
            <w:noWrap w:val="0"/>
            <w:vAlign w:val="center"/>
          </w:tcPr>
          <w:p w14:paraId="09BA662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虽有苗种水产许可证，但苗种生产不符合质量标准的</w:t>
            </w:r>
          </w:p>
        </w:tc>
        <w:tc>
          <w:tcPr>
            <w:tcW w:w="2693" w:type="dxa"/>
            <w:shd w:val="clear" w:color="auto" w:fill="auto"/>
            <w:noWrap w:val="0"/>
            <w:vAlign w:val="center"/>
          </w:tcPr>
          <w:p w14:paraId="78E5F7E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4E4DF10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2.违法行为轻微未造成危害后果或危害后果轻微；</w:t>
            </w:r>
          </w:p>
          <w:p w14:paraId="24B8687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072E569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【地方性法规】《江苏省渔业管理条例》第九条第一款 苗种生产应当执行国家或者省规定的苗种生产技术操作规程，符合苗种质量标准，实行亲本定期更新制度。经济杂交的亲本应当是纯系群体，可育杂交种及其苗种不得作为繁育亲本，不得投放天然水域。</w:t>
            </w:r>
          </w:p>
          <w:p w14:paraId="1758DBA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【地方性法规】《江苏省渔业管理条例》第三十八条第二款 对虽有苗种生产许可证，但苗种生产不符合质量标准的，责令限期改正，拒不改正的，可以吊销苗种生产许可证。</w:t>
            </w:r>
          </w:p>
        </w:tc>
        <w:tc>
          <w:tcPr>
            <w:tcW w:w="2017" w:type="dxa"/>
            <w:shd w:val="clear" w:color="auto" w:fill="auto"/>
            <w:noWrap w:val="0"/>
            <w:vAlign w:val="center"/>
          </w:tcPr>
          <w:p w14:paraId="7BF4586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B5E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7D22CD4C">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25</w:t>
            </w:r>
          </w:p>
        </w:tc>
        <w:tc>
          <w:tcPr>
            <w:tcW w:w="3112" w:type="dxa"/>
            <w:shd w:val="clear" w:color="auto" w:fill="auto"/>
            <w:noWrap w:val="0"/>
            <w:vAlign w:val="center"/>
          </w:tcPr>
          <w:p w14:paraId="2CE8340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动物、动物产品的运载工具、垫料、包装物、容器等不符合国务院农业农村主管部门规定的</w:t>
            </w:r>
          </w:p>
        </w:tc>
        <w:tc>
          <w:tcPr>
            <w:tcW w:w="2693" w:type="dxa"/>
            <w:shd w:val="clear" w:color="auto" w:fill="auto"/>
            <w:noWrap w:val="0"/>
            <w:vAlign w:val="center"/>
          </w:tcPr>
          <w:p w14:paraId="698495A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9A8E00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2.未造成环境污染或动物疫情传播；</w:t>
            </w:r>
          </w:p>
          <w:p w14:paraId="64C6AB9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5359498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【法律】《中华人民共和国动物防疫法》第二十七条第一款 动物、动物产品的运载工具、垫料、包装物、容器等应当符合国务院农业农村主管部门规定的动物防疫要求。</w:t>
            </w:r>
          </w:p>
          <w:p w14:paraId="501CE74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【法律】《中华人民共和国动物防疫法》第九十四条 违反本法规定，动物、动物产品的运载工具、垫料、包装物、容器等不符合国务院农业农村主管部门规定的动物防疫要求的，由县级以上地方人民政府农业农村主管部门责令改正，可以处五千元以下罚款；情节严重的，处五千元以上五万元以下罚款。</w:t>
            </w:r>
          </w:p>
        </w:tc>
        <w:tc>
          <w:tcPr>
            <w:tcW w:w="2017" w:type="dxa"/>
            <w:shd w:val="clear" w:color="auto" w:fill="auto"/>
            <w:noWrap w:val="0"/>
            <w:vAlign w:val="center"/>
          </w:tcPr>
          <w:p w14:paraId="64063B8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4929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11E35A2F">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26</w:t>
            </w:r>
          </w:p>
        </w:tc>
        <w:tc>
          <w:tcPr>
            <w:tcW w:w="3112" w:type="dxa"/>
            <w:shd w:val="clear" w:color="auto" w:fill="auto"/>
            <w:noWrap w:val="0"/>
            <w:vAlign w:val="center"/>
          </w:tcPr>
          <w:p w14:paraId="2A7278D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经营依法应当检疫而未经检疫的动物</w:t>
            </w:r>
          </w:p>
        </w:tc>
        <w:tc>
          <w:tcPr>
            <w:tcW w:w="2693" w:type="dxa"/>
            <w:shd w:val="clear" w:color="auto" w:fill="auto"/>
            <w:noWrap w:val="0"/>
            <w:vAlign w:val="center"/>
          </w:tcPr>
          <w:p w14:paraId="10E54F5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 经营主体具有相关营业项目的《营业执照》；</w:t>
            </w:r>
          </w:p>
          <w:p w14:paraId="7AC6851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 经营的动物为宠物（仅限犬、猫）；</w:t>
            </w:r>
          </w:p>
          <w:p w14:paraId="4DCB134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 经营的动物未满三个月龄；</w:t>
            </w:r>
          </w:p>
          <w:p w14:paraId="42C86AD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 买卖双方已逐只签订买卖协议；</w:t>
            </w:r>
          </w:p>
          <w:p w14:paraId="0DC74DF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 及时改正；</w:t>
            </w:r>
          </w:p>
          <w:p w14:paraId="4A96063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6. 没有造成危害后果。</w:t>
            </w:r>
          </w:p>
        </w:tc>
        <w:tc>
          <w:tcPr>
            <w:tcW w:w="5812" w:type="dxa"/>
            <w:shd w:val="clear" w:color="auto" w:fill="auto"/>
            <w:noWrap w:val="0"/>
            <w:vAlign w:val="center"/>
          </w:tcPr>
          <w:p w14:paraId="5972A0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【法律】《中华人民共和国动物防疫法》第二十九条第一款第三项 禁止屠宰、经营、运输下列动物和生产、经营、加工、贮藏、运输下列动物产品：（三）依法应当检疫而未经检疫或者检疫不合格的；</w:t>
            </w:r>
          </w:p>
          <w:p w14:paraId="6104E32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【法律】《中华人民共和国动物防疫法》第一百条 违反本法规定，屠宰、经营、运输的动物未附有检疫证明，经营和运输的动物产品未附有检疫证明、检疫标志的，由县级以上地方人民政府农业农村主管部门责令改正，处同类检疫合格动物、动物产品货值金额一倍以下罚款；对货主以外的承运人处运输费用三倍以上五倍以下罚款，情节严重的，处五倍以上十倍以下罚款。违反本法规定，用于科研、展示、演出和比赛等非食用性利用的动物未附有检疫证明的，由县级以上地方人民政府农业农村主管部门责令改正，处三千元以上一万元以下罚款。</w:t>
            </w:r>
          </w:p>
        </w:tc>
        <w:tc>
          <w:tcPr>
            <w:tcW w:w="2017" w:type="dxa"/>
            <w:shd w:val="clear" w:color="auto" w:fill="auto"/>
            <w:noWrap w:val="0"/>
            <w:vAlign w:val="center"/>
          </w:tcPr>
          <w:p w14:paraId="050DA56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E73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79A9F87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27</w:t>
            </w:r>
          </w:p>
        </w:tc>
        <w:tc>
          <w:tcPr>
            <w:tcW w:w="3112" w:type="dxa"/>
            <w:shd w:val="clear" w:color="auto" w:fill="auto"/>
            <w:noWrap w:val="0"/>
            <w:vAlign w:val="center"/>
          </w:tcPr>
          <w:p w14:paraId="7196495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动物诊疗机构未按照规定处置诊疗废弃物的</w:t>
            </w:r>
          </w:p>
        </w:tc>
        <w:tc>
          <w:tcPr>
            <w:tcW w:w="2693" w:type="dxa"/>
            <w:shd w:val="clear" w:color="auto" w:fill="auto"/>
            <w:noWrap w:val="0"/>
            <w:vAlign w:val="center"/>
          </w:tcPr>
          <w:p w14:paraId="300AF38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84BDB9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2.已对诊疗废弃物相对合理分类存放并有处置记录；</w:t>
            </w:r>
          </w:p>
          <w:p w14:paraId="68B1FC3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3.已委托专业诊疗废弃物收集单位收集处理；</w:t>
            </w:r>
          </w:p>
          <w:p w14:paraId="1536DE5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4.未造成动物疫病传播、公众健康损害等；</w:t>
            </w:r>
          </w:p>
          <w:p w14:paraId="06FD5CE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5.及时改正。</w:t>
            </w:r>
          </w:p>
        </w:tc>
        <w:tc>
          <w:tcPr>
            <w:tcW w:w="5812" w:type="dxa"/>
            <w:shd w:val="clear" w:color="auto" w:fill="auto"/>
            <w:noWrap w:val="0"/>
            <w:vAlign w:val="center"/>
          </w:tcPr>
          <w:p w14:paraId="7C2CCE6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【法律】《中华人民共和国动物防疫法》第六十四条 动物诊疗机构应当按照国务院农业农村主管部门的规定，做好诊疗活动中的卫生安全防护、消毒、隔离和诊疗废弃物处置等工作。</w:t>
            </w:r>
          </w:p>
          <w:p w14:paraId="0B6D0AC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【法律】《中华人民共和国动物防疫法》第一百零五条第二款 动物诊疗机构违反本法规定，未按照规定实施卫生安全防护、消毒、隔离和处置诊疗废弃物的，由县级以上地方人民政府农业农村主管部门责令改正，处一千元以上一万元以下罚款；造成动物疫病扩散的，处一万元以上五万元以下罚款；情节严重的，吊销动物诊疗许可证。</w:t>
            </w:r>
          </w:p>
        </w:tc>
        <w:tc>
          <w:tcPr>
            <w:tcW w:w="2017" w:type="dxa"/>
            <w:shd w:val="clear" w:color="auto" w:fill="auto"/>
            <w:noWrap w:val="0"/>
            <w:vAlign w:val="center"/>
          </w:tcPr>
          <w:p w14:paraId="4AB76B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0960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75452BCD">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28</w:t>
            </w:r>
          </w:p>
        </w:tc>
        <w:tc>
          <w:tcPr>
            <w:tcW w:w="3112" w:type="dxa"/>
            <w:shd w:val="clear" w:color="auto" w:fill="auto"/>
            <w:noWrap w:val="0"/>
            <w:vAlign w:val="center"/>
          </w:tcPr>
          <w:p w14:paraId="4D9808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动物诊疗机构变更机构名称或者法定代表人（负责人）未办理变更手续的</w:t>
            </w:r>
          </w:p>
        </w:tc>
        <w:tc>
          <w:tcPr>
            <w:tcW w:w="2693" w:type="dxa"/>
            <w:shd w:val="clear" w:color="auto" w:fill="auto"/>
            <w:noWrap w:val="0"/>
            <w:vAlign w:val="center"/>
          </w:tcPr>
          <w:p w14:paraId="0BFEC29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AB97EC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2.违法行为存续期间，未超出诊疗许可范围开展诊疗且未出现动物诊疗事故或者未开展诊疗活动；</w:t>
            </w:r>
          </w:p>
          <w:p w14:paraId="3632B4F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1C3166F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【部门规章】《动物诊疗机构管理办法》第十四条第一款 动物诊疗机构变更名称或者法定代表人（负责人）的，应当在办理市场主体变更登记手续后十五个工作日内，向原发证机关申请办理变更手续。</w:t>
            </w:r>
          </w:p>
          <w:p w14:paraId="3D30418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【部门规章】《动物诊疗机构管理办法》第三十五条 违反本办法规定，动物诊疗机构有下列行为之一的，由县级以上地方人民政府农业农村主管部门责令限期改正，处一千元以上五千元以下罚款：</w:t>
            </w:r>
          </w:p>
          <w:p w14:paraId="0876AB0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（一）变更机构名称或者法定代表人（负责人）未办理变更手续的；</w:t>
            </w:r>
          </w:p>
          <w:p w14:paraId="56F8777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（二）未在诊疗场所悬挂动物诊疗许可证或者公示诊疗活动从业人员基本情况的；</w:t>
            </w:r>
          </w:p>
          <w:p w14:paraId="0F5D14C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（三）未使用规范的病历或未按规定为执业兽医师提供处方笺的，或者不按规定保存病历档案的；</w:t>
            </w:r>
          </w:p>
          <w:p w14:paraId="51CBBD4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（四）使用未在本机构备案从业的执业兽医从事动物诊疗活动的。</w:t>
            </w:r>
          </w:p>
        </w:tc>
        <w:tc>
          <w:tcPr>
            <w:tcW w:w="2017" w:type="dxa"/>
            <w:shd w:val="clear" w:color="auto" w:fill="auto"/>
            <w:noWrap w:val="0"/>
            <w:vAlign w:val="center"/>
          </w:tcPr>
          <w:p w14:paraId="373C159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CFD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432" w:type="dxa"/>
            <w:noWrap w:val="0"/>
            <w:vAlign w:val="center"/>
          </w:tcPr>
          <w:p w14:paraId="367631D1">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29</w:t>
            </w:r>
          </w:p>
        </w:tc>
        <w:tc>
          <w:tcPr>
            <w:tcW w:w="3112" w:type="dxa"/>
            <w:shd w:val="clear" w:color="auto" w:fill="auto"/>
            <w:noWrap w:val="0"/>
            <w:vAlign w:val="center"/>
          </w:tcPr>
          <w:p w14:paraId="4ADC72A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动物诊疗机构未在诊疗场所悬挂动物诊疗许可证的</w:t>
            </w:r>
          </w:p>
        </w:tc>
        <w:tc>
          <w:tcPr>
            <w:tcW w:w="2693" w:type="dxa"/>
            <w:shd w:val="clear" w:color="auto" w:fill="auto"/>
            <w:noWrap w:val="0"/>
            <w:vAlign w:val="center"/>
          </w:tcPr>
          <w:p w14:paraId="4A8CA7C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DE9409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2.无其他违法诊疗活动；</w:t>
            </w:r>
          </w:p>
          <w:p w14:paraId="01C4636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3.当场改正。</w:t>
            </w:r>
          </w:p>
        </w:tc>
        <w:tc>
          <w:tcPr>
            <w:tcW w:w="5812" w:type="dxa"/>
            <w:shd w:val="clear" w:color="auto" w:fill="auto"/>
            <w:noWrap w:val="0"/>
            <w:vAlign w:val="center"/>
          </w:tcPr>
          <w:p w14:paraId="3E25F8C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【部门规章】《动物诊疗机构管理办法》第十七条 动物诊疗机构应当依法从事动物诊疗活动，建立健全内部管理制度，在诊疗场所的显著位置悬挂动物诊疗许可证和公示诊疗活动从业人员基本情况。</w:t>
            </w:r>
          </w:p>
          <w:p w14:paraId="7A723E8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【部门规章】《动物诊疗机构管理办法》第三十五条 违反本办法规定，动物诊疗机构有下列行为之一的，由县级以上地方人民政府农业农村主管部门责令限期改正，处一千元以上五千元以下罚款：</w:t>
            </w:r>
          </w:p>
          <w:p w14:paraId="1DD944E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（一）变更机构名称或者法定代表人（负责人）未办理变更手续的；</w:t>
            </w:r>
          </w:p>
          <w:p w14:paraId="2C0A75E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（二）未在诊疗场所悬挂动物诊疗许可证或者公示诊疗活动从业人员基本情况的；</w:t>
            </w:r>
          </w:p>
          <w:p w14:paraId="2D9FB59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（三）未使用规范的病历或未按规定为执业兽医师提供处方笺的，或者不按规定保存病历档案的；</w:t>
            </w:r>
          </w:p>
          <w:p w14:paraId="62D2D0D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（四）使用未在本机构备案从业的执业兽医从事动物诊疗活动的。</w:t>
            </w:r>
          </w:p>
        </w:tc>
        <w:tc>
          <w:tcPr>
            <w:tcW w:w="2017" w:type="dxa"/>
            <w:shd w:val="clear" w:color="auto" w:fill="auto"/>
            <w:noWrap w:val="0"/>
            <w:vAlign w:val="center"/>
          </w:tcPr>
          <w:p w14:paraId="2D47CC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46FD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0298C79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30</w:t>
            </w:r>
          </w:p>
        </w:tc>
        <w:tc>
          <w:tcPr>
            <w:tcW w:w="3112" w:type="dxa"/>
            <w:shd w:val="clear" w:color="auto" w:fill="auto"/>
            <w:noWrap w:val="0"/>
            <w:vAlign w:val="center"/>
          </w:tcPr>
          <w:p w14:paraId="4038900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动物诊疗机构未在诊疗场所公示诊疗活动从业人员基本情况的</w:t>
            </w:r>
          </w:p>
        </w:tc>
        <w:tc>
          <w:tcPr>
            <w:tcW w:w="2693" w:type="dxa"/>
            <w:shd w:val="clear" w:color="auto" w:fill="auto"/>
            <w:noWrap w:val="0"/>
            <w:vAlign w:val="center"/>
          </w:tcPr>
          <w:p w14:paraId="342F70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91E497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2.未公示的从业人员无违法诊疗活动；</w:t>
            </w:r>
          </w:p>
          <w:p w14:paraId="4D07109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3B7D39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【部门规章】《动物诊疗机构管理办法》第十七条 动物诊疗机构应当依法从事动物诊疗活动，建立健全内部管理制度，在诊疗场所的显著位置悬挂动物诊疗许可证和公示诊疗活动从业人员基本情况。</w:t>
            </w:r>
          </w:p>
          <w:p w14:paraId="2E9DC7F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【部门规章】《动物诊疗机构管理办法》第三十五条 违反本办法规定，动物诊疗机构有下列行为之一的，由县级以上地方人民政府农业农村主管部门责令限期改正，处一千元以上五千元以下罚款：</w:t>
            </w:r>
          </w:p>
          <w:p w14:paraId="4B5ACBF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（一）变更机构名称或者法定代表人（负责人）未办理变更手续的；</w:t>
            </w:r>
          </w:p>
          <w:p w14:paraId="2172AD9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（二）未在诊疗场所悬挂动物诊疗许可证或者公示诊疗活动从业人员基本情况的；</w:t>
            </w:r>
          </w:p>
          <w:p w14:paraId="79BD7AF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（三）未使用规范的病历或未按规定为执业兽医师提供处方笺的，或者不按规定保存病历档案的；</w:t>
            </w:r>
          </w:p>
          <w:p w14:paraId="3A7DCCC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（四）使用未在本机构备案从业的执业兽医从事动物诊疗活动的。</w:t>
            </w:r>
          </w:p>
        </w:tc>
        <w:tc>
          <w:tcPr>
            <w:tcW w:w="2017" w:type="dxa"/>
            <w:shd w:val="clear" w:color="auto" w:fill="auto"/>
            <w:noWrap w:val="0"/>
            <w:vAlign w:val="center"/>
          </w:tcPr>
          <w:p w14:paraId="70F6031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2E90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00921C2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31</w:t>
            </w:r>
          </w:p>
        </w:tc>
        <w:tc>
          <w:tcPr>
            <w:tcW w:w="3112" w:type="dxa"/>
            <w:shd w:val="clear" w:color="auto" w:fill="auto"/>
            <w:noWrap w:val="0"/>
            <w:vAlign w:val="center"/>
          </w:tcPr>
          <w:p w14:paraId="38B931D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动物诊疗机构未使用规范的病历或未按规定为执业兽医师提供处方笺的</w:t>
            </w:r>
          </w:p>
        </w:tc>
        <w:tc>
          <w:tcPr>
            <w:tcW w:w="2693" w:type="dxa"/>
            <w:shd w:val="clear" w:color="auto" w:fill="auto"/>
            <w:noWrap w:val="0"/>
            <w:vAlign w:val="center"/>
          </w:tcPr>
          <w:p w14:paraId="4B33320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FA0DE0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2.未发生动物诊疗事故，且未产生不良社会影响；</w:t>
            </w:r>
          </w:p>
          <w:p w14:paraId="6F6D99A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48C2445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【部门规章】《动物诊疗机构管理办法》第二十二条第一款 动物诊疗机构应当使用载明机构名称的规范病历，包括门（急）诊病历和住院病历。病历档案保存期限不得少于三年。</w:t>
            </w:r>
          </w:p>
          <w:p w14:paraId="481D4DC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【部门规章】《动物诊疗机构管理办法》第二十三条 动物诊疗机构应当为执业兽医师提供兽医处方笺，处方笺的格式和保存等应当符合农业农村部规定的兽医处方格式及应用规范。</w:t>
            </w:r>
          </w:p>
          <w:p w14:paraId="7AB2B63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【部门规章】《动物诊疗机构管理办法》第三十五条 违反本办法规定，动物诊疗机构有下列行为之一的，由县级以上地方人民政府农业农村主管部门责令限期改正，处一千元以上五千元以下罚款：</w:t>
            </w:r>
          </w:p>
          <w:p w14:paraId="1DE06C6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（一）变更机构名称或者法定代表人（负责人）未办理变更手续的；</w:t>
            </w:r>
          </w:p>
          <w:p w14:paraId="45654AC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（二）未在诊疗场所悬挂动物诊疗许可证或者公示诊疗活动从业人员基本情况的；</w:t>
            </w:r>
          </w:p>
          <w:p w14:paraId="406BE5B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（三）未使用规范的病历或未按规定为执业兽医师提供处方笺的，或者不按规定保存病历档案的；</w:t>
            </w:r>
          </w:p>
          <w:p w14:paraId="1E52038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（四）使用未在本机构备案从业的执业兽医从事动物诊疗活动的。</w:t>
            </w:r>
          </w:p>
        </w:tc>
        <w:tc>
          <w:tcPr>
            <w:tcW w:w="2017" w:type="dxa"/>
            <w:shd w:val="clear" w:color="auto" w:fill="auto"/>
            <w:noWrap w:val="0"/>
            <w:vAlign w:val="center"/>
          </w:tcPr>
          <w:p w14:paraId="34F3972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2E1A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372045BF">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32</w:t>
            </w:r>
          </w:p>
        </w:tc>
        <w:tc>
          <w:tcPr>
            <w:tcW w:w="3112" w:type="dxa"/>
            <w:shd w:val="clear" w:color="auto" w:fill="auto"/>
            <w:noWrap w:val="0"/>
            <w:vAlign w:val="center"/>
          </w:tcPr>
          <w:p w14:paraId="5024BB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未取得人工繁育许可证繁育国家重点保护水生野生动物的</w:t>
            </w:r>
          </w:p>
        </w:tc>
        <w:tc>
          <w:tcPr>
            <w:tcW w:w="2693" w:type="dxa"/>
            <w:shd w:val="clear" w:color="auto" w:fill="auto"/>
            <w:noWrap w:val="0"/>
            <w:vAlign w:val="center"/>
          </w:tcPr>
          <w:p w14:paraId="74C0DB8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1.繁育不以营利、食用或制作动物制品为目的；</w:t>
            </w:r>
          </w:p>
          <w:p w14:paraId="0EAB205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2.用于繁育的动物属于国家二级保护非哺乳类水生野生动物，或者按照国家二级保护的非哺乳类水生野生动物；</w:t>
            </w:r>
          </w:p>
          <w:p w14:paraId="42A57F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3.用于繁育的动物为人工繁育个体，来源合法且数量少于4只/尾；</w:t>
            </w:r>
          </w:p>
          <w:p w14:paraId="502D370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4.初次违法；</w:t>
            </w:r>
          </w:p>
          <w:p w14:paraId="7003772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5.及时改正；</w:t>
            </w:r>
          </w:p>
          <w:p w14:paraId="0222B36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6.已将繁育出的动物交至具备相应资质的水生野生动物救护单位；</w:t>
            </w:r>
          </w:p>
          <w:p w14:paraId="142792D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7.未造成危害后果。</w:t>
            </w:r>
          </w:p>
        </w:tc>
        <w:tc>
          <w:tcPr>
            <w:tcW w:w="5812" w:type="dxa"/>
            <w:shd w:val="clear" w:color="auto" w:fill="auto"/>
            <w:noWrap w:val="0"/>
            <w:vAlign w:val="center"/>
          </w:tcPr>
          <w:p w14:paraId="43BDAE9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【法律】《中华人民共和国野生动物保护法》第二十五条第二款 人工繁育国家重点保护野生动物实行许可制度。人工繁育国家重点保护野生动物的，应当经省、自治区、直辖市人民政府野生动物保护主管部门批准，取得人工繁育许可证，但国务院对批准机关另有规定的除外。</w:t>
            </w:r>
          </w:p>
          <w:p w14:paraId="62DEE8B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【法律】《中华人民共和国野生动物保护法》第五十一条第一款 违反本法第二十五条第二款规定，未取得人工繁育许可证，繁育国家重点保护野生动物或者依照本法第二十九条第二款规定调出国家重点保护野生动物名录的野生动物的，由县级以上人民政府野生动物保护主管部门没收野生动物及其制品，并处野生动物及其制品价值一倍以上十倍以下罚款。</w:t>
            </w:r>
          </w:p>
        </w:tc>
        <w:tc>
          <w:tcPr>
            <w:tcW w:w="2017" w:type="dxa"/>
            <w:shd w:val="clear" w:color="auto" w:fill="auto"/>
            <w:noWrap w:val="0"/>
            <w:vAlign w:val="center"/>
          </w:tcPr>
          <w:p w14:paraId="07C4780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AE9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24D00005">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33</w:t>
            </w:r>
          </w:p>
        </w:tc>
        <w:tc>
          <w:tcPr>
            <w:tcW w:w="3112" w:type="dxa"/>
            <w:shd w:val="clear" w:color="auto" w:fill="auto"/>
            <w:noWrap w:val="0"/>
            <w:vAlign w:val="center"/>
          </w:tcPr>
          <w:p w14:paraId="66BE962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未取得人工繁育许可证繁育《中华人民共和国野生动物保护法》第二十九条第二款规定的水生野生动物的</w:t>
            </w:r>
          </w:p>
        </w:tc>
        <w:tc>
          <w:tcPr>
            <w:tcW w:w="2693" w:type="dxa"/>
            <w:shd w:val="clear" w:color="auto" w:fill="auto"/>
            <w:noWrap w:val="0"/>
            <w:vAlign w:val="center"/>
          </w:tcPr>
          <w:p w14:paraId="29C4F32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1.繁育不以营利、食用或制作动物制品为目的；</w:t>
            </w:r>
          </w:p>
          <w:p w14:paraId="09A1B86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2.用于繁育的动物为非哺乳类水生野生动物，来源合法且数量小于8只/尾；</w:t>
            </w:r>
          </w:p>
          <w:p w14:paraId="357CDDD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3.初次违法；</w:t>
            </w:r>
          </w:p>
          <w:p w14:paraId="113B55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4.及时改正；</w:t>
            </w:r>
          </w:p>
          <w:p w14:paraId="0C3D663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5.已将繁育出的动物交至具备相应资质的水生野生动物救护单位；</w:t>
            </w:r>
          </w:p>
          <w:p w14:paraId="0D36D58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6.未造成危害后果。</w:t>
            </w:r>
          </w:p>
        </w:tc>
        <w:tc>
          <w:tcPr>
            <w:tcW w:w="5812" w:type="dxa"/>
            <w:shd w:val="clear" w:color="auto" w:fill="auto"/>
            <w:noWrap w:val="0"/>
            <w:vAlign w:val="center"/>
          </w:tcPr>
          <w:p w14:paraId="5C1F33F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【法律】《中华人民共和国野生动物保护法》第二十五条第二款 人工繁育国家重点保护野生动物实行许可制度。人工繁育国家重点保护野生动物的，应当经省、自治区、直辖市人民政府野生动物保护主管部门批准，取得人工繁育许可证，但国务院对批准机关另有规定的除外。</w:t>
            </w:r>
          </w:p>
          <w:p w14:paraId="190DEAF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【法律】《中华人民共和国野生动物保护法》第二十九条第二款 对本法第十条规定的国家重点保护野生动物名录和有重要生态、科学、社会价值的陆生野生动物名录进行调整时，根据有关野外种群保护情况，可以对前款规定的有关人工繁育技术成熟稳定野生动物的人工种群，不再列入国家重点保护野生动物名录和有重要生态、科学、社会价值的陆生野生动物名录，实行与野外种群不同的管理措施，但应当依照本法第二十五条第二款、第三款和本条第一款的规定取得人工繁育许可证或者备案和专用标识。</w:t>
            </w:r>
          </w:p>
          <w:p w14:paraId="4016C41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【法律】《中华人民共和国野生动物保护法》第五十一条第一款 违反本法第二十五条第二款规定，未取得人工繁育许可证，繁育国家重点保护野生动物或者依照本法第二十九条第二款规定调出国家重点保护野生动物名录的野生动物的，由县级以上人民政府野生动物保护主管部门没收野生动物及其制品，并处野生动物及其制品价值一倍以上十倍以下罚款。</w:t>
            </w:r>
          </w:p>
        </w:tc>
        <w:tc>
          <w:tcPr>
            <w:tcW w:w="2017" w:type="dxa"/>
            <w:shd w:val="clear" w:color="auto" w:fill="auto"/>
            <w:noWrap w:val="0"/>
            <w:vAlign w:val="center"/>
          </w:tcPr>
          <w:p w14:paraId="6CD3F15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48A8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432" w:type="dxa"/>
            <w:noWrap w:val="0"/>
            <w:vAlign w:val="center"/>
          </w:tcPr>
          <w:p w14:paraId="54BF941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34</w:t>
            </w:r>
          </w:p>
        </w:tc>
        <w:tc>
          <w:tcPr>
            <w:tcW w:w="3112" w:type="dxa"/>
            <w:shd w:val="clear" w:color="auto" w:fill="auto"/>
            <w:noWrap w:val="0"/>
            <w:vAlign w:val="center"/>
          </w:tcPr>
          <w:p w14:paraId="204533B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未经批准、未取得或者未按照规定使用专用标识购买《中华人民共和国野生动物保护法》第二十九条第一款规定的国家重点保护水生野生动物的</w:t>
            </w:r>
          </w:p>
        </w:tc>
        <w:tc>
          <w:tcPr>
            <w:tcW w:w="2693" w:type="dxa"/>
            <w:shd w:val="clear" w:color="auto" w:fill="auto"/>
            <w:noWrap w:val="0"/>
            <w:vAlign w:val="center"/>
          </w:tcPr>
          <w:p w14:paraId="3B57BCA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1.当事人仅为个人或家庭而购买，没有购买野外捕获（捞）水生野生动物的主观故意，不以营利、食用或制作动物制品为目的，且如实提供涉案动物的购买来源信息；</w:t>
            </w:r>
          </w:p>
          <w:p w14:paraId="7A1EAD1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2.涉案水生野生动物属于《人工繁育国家重点保护水生野生动物名录》中非哺乳类动物；</w:t>
            </w:r>
          </w:p>
          <w:p w14:paraId="054A19D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3.涉案水生动物数量不超过2只/头/尾，且总货值金额不超过3000元；</w:t>
            </w:r>
          </w:p>
          <w:p w14:paraId="02863C7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4.初次违法；</w:t>
            </w:r>
          </w:p>
          <w:p w14:paraId="2927A09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5.已将购买的动物交至具备相应资质的水生野生动物救护单位；</w:t>
            </w:r>
          </w:p>
          <w:p w14:paraId="4F8FA91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6.未造成危害后果。</w:t>
            </w:r>
          </w:p>
        </w:tc>
        <w:tc>
          <w:tcPr>
            <w:tcW w:w="5812" w:type="dxa"/>
            <w:shd w:val="clear" w:color="auto" w:fill="auto"/>
            <w:noWrap w:val="0"/>
            <w:vAlign w:val="center"/>
          </w:tcPr>
          <w:p w14:paraId="57C089D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【法律】《中华人民共和国野生动物保护法》第二十八条第一款 禁止出售、购买、利用国家重点保护野生动物及其制品。</w:t>
            </w:r>
          </w:p>
          <w:p w14:paraId="2FD0EDE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第二十八条第二款 因科学研究、人工繁育、公众展示展演、文物保护或者其他特殊情况，需要出售、购买、利用国家重点保护野生动物及其制品的，应当经省、自治区、直辖市人民政府野生动物保护主管部门批准，并按照规定取得和使用专用标识，保证可追溯，但国务院对批准机关另有规定的除外。</w:t>
            </w:r>
          </w:p>
          <w:p w14:paraId="60C6E71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【法律】《中华人民共和国野生动物保护法》第二十九条第一款 对人工繁育技术成熟稳定的国家重点保护野生动物或者有重要生态、科学、社会价值的陆生野生动物，经科学论证评估，纳入国务院野生动物保护主管部门制定的人工繁育国家重点保护野生动物名录或者有重要生态、科学、社会价值的陆生野生动物名录，并适时调整。对列入名录的野生动物及其制品，可以凭人工繁育许可证或者备案，按照省、自治区、直辖市</w:t>
            </w:r>
          </w:p>
          <w:p w14:paraId="45BCF0F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人民政府野生动物保护主管部门或者其授权的部门核验的年度生产数量直接取得专用标识，凭专用标识出售和利用，保证可追溯。</w:t>
            </w:r>
          </w:p>
          <w:p w14:paraId="2E5689A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【法律】《中华人民共和国野生动物保护法》第五十二条第一款 违反本法第二十八条第一款和第二款、第二十九条第一款、第三十四条第一款规定，未经批准、未取得或者未按照规定使用专用标识，或者未持有、未附有人工繁育许可证、批准文件的副本或者专用标识出售、购买、利用、运输、携带、寄递国家重点保护野生动物及其制品或者依照本法第二十九条第二款规定调出国家重点保护野生动物名录的野生动物及其制品的，由县级以上人民政府野生动物保护主管部门和市场监督管理部门按照职责分工没收野生动物及其制品和违法所得，责令关闭违法经营场所，并处野生动物及其制品价值二倍以上二十倍以下罚款；情节严重的，吊销人工繁育许可证、撤销批准文件、收回专用标识；构成犯罪的，依法追究刑事责任。</w:t>
            </w:r>
          </w:p>
        </w:tc>
        <w:tc>
          <w:tcPr>
            <w:tcW w:w="2017" w:type="dxa"/>
            <w:shd w:val="clear" w:color="auto" w:fill="auto"/>
            <w:noWrap w:val="0"/>
            <w:vAlign w:val="center"/>
          </w:tcPr>
          <w:p w14:paraId="08E93C0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680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432" w:type="dxa"/>
            <w:noWrap w:val="0"/>
            <w:vAlign w:val="center"/>
          </w:tcPr>
          <w:p w14:paraId="5FCC40CA">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35</w:t>
            </w:r>
          </w:p>
        </w:tc>
        <w:tc>
          <w:tcPr>
            <w:tcW w:w="3112" w:type="dxa"/>
            <w:shd w:val="clear" w:color="auto" w:fill="auto"/>
            <w:noWrap w:val="0"/>
            <w:vAlign w:val="center"/>
          </w:tcPr>
          <w:p w14:paraId="6F929CD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未取得专用标识购买《中华人民共和国野生动物保护法》第二十九条第二款规定的水生野生动物的</w:t>
            </w:r>
          </w:p>
        </w:tc>
        <w:tc>
          <w:tcPr>
            <w:tcW w:w="2693" w:type="dxa"/>
            <w:shd w:val="clear" w:color="auto" w:fill="auto"/>
            <w:noWrap w:val="0"/>
            <w:vAlign w:val="center"/>
          </w:tcPr>
          <w:p w14:paraId="47874B2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1.当事人仅为个人或家庭而购买，没有购买野外捕获（捞）水生野生动物的主观故意，不以营利、食用或制作动物制品为目的，且如实提供涉案动物的购买来源信息；</w:t>
            </w:r>
          </w:p>
          <w:p w14:paraId="096C036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2.涉案动物为非哺乳类水生野生动物；</w:t>
            </w:r>
          </w:p>
          <w:p w14:paraId="53ACFDC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3.涉案水生动物数量不超过2只/头/尾，且总货值金额不超过3000元；</w:t>
            </w:r>
          </w:p>
          <w:p w14:paraId="76261BA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4.初次违法；</w:t>
            </w:r>
          </w:p>
          <w:p w14:paraId="063E692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5.已将购买的动物交至具备相应资质的水生野生动物救护单位；</w:t>
            </w:r>
          </w:p>
          <w:p w14:paraId="44E6301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6.未造成危害后果。</w:t>
            </w:r>
          </w:p>
        </w:tc>
        <w:tc>
          <w:tcPr>
            <w:tcW w:w="5812" w:type="dxa"/>
            <w:shd w:val="clear" w:color="auto" w:fill="auto"/>
            <w:noWrap w:val="0"/>
            <w:vAlign w:val="center"/>
          </w:tcPr>
          <w:p w14:paraId="3435C0C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【法律】《中华人民共和国野生动物保护法》第二十九条第二款 对本法第十条规定的国家重点保护野生动物名录和有重要生态、科学、社会价值的陆生野生动物名录进行调整时，根据有关野外种群保护情况，可以对前款规定的有关人工繁育技术成熟稳定野生动物的人工种群，不再列入国家重点保护野生动物名录和有重要生态、科学、社会价值的陆生野生动物名录，实行与野外种群不同的管理措施，但应当依照本法第二十五条第二款、第三款和本条第一款的规定取得人工繁育许可证或者备案和专用标识。</w:t>
            </w:r>
          </w:p>
          <w:p w14:paraId="0ED16FB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【法律】《中华人民共和国野生动物保护法》第五十二条第一款 违反本法第二十八条第一款和第二款、第二十九条第一款、第三十四条第一款规定，未经批准、未取得或者未按照规定使用专用标识，或者未持有、未附有人工繁育许可证、批准文件的副本或者专用标识出售、购买、利用、运输、携带、寄递国家重点保护野生动物及其制品或者依照本法第二十九条第二款规定调出国家重点保护野生动物名录的野生动物及其制品的，由县级以上人民政府野生动物保护主管部门和市场监督管理部门按照职责分工没收野生动物及其制品和违法所得，责令关闭违法经营场所，并处野生动物及其制品价值二倍以上二十倍以下罚款；情节严重的，吊销人工繁育许可证、撤销批准文件、收回专用标识；构成犯罪的，依法追究刑事责任。</w:t>
            </w:r>
          </w:p>
        </w:tc>
        <w:tc>
          <w:tcPr>
            <w:tcW w:w="2017" w:type="dxa"/>
            <w:shd w:val="clear" w:color="auto" w:fill="auto"/>
            <w:noWrap w:val="0"/>
            <w:vAlign w:val="center"/>
          </w:tcPr>
          <w:p w14:paraId="0102BC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D30A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76C6896B">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36</w:t>
            </w:r>
          </w:p>
        </w:tc>
        <w:tc>
          <w:tcPr>
            <w:tcW w:w="3112" w:type="dxa"/>
            <w:shd w:val="clear" w:color="auto" w:fill="auto"/>
            <w:noWrap w:val="0"/>
            <w:vAlign w:val="center"/>
          </w:tcPr>
          <w:p w14:paraId="5A8C410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未经批准、未取得或者未按照规定使用专用标识利用《中华人民共和国野生动物保护法》第二十九条第一款规定的国家重点保护水生野生动物及其制品的</w:t>
            </w:r>
          </w:p>
        </w:tc>
        <w:tc>
          <w:tcPr>
            <w:tcW w:w="2693" w:type="dxa"/>
            <w:shd w:val="clear" w:color="auto" w:fill="auto"/>
            <w:noWrap w:val="0"/>
            <w:vAlign w:val="center"/>
          </w:tcPr>
          <w:p w14:paraId="28F0E4C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1.用于非营利性的科学研究、公众展示展演、教育等活动；</w:t>
            </w:r>
          </w:p>
          <w:p w14:paraId="3656006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2.涉案水生野生动物属于《人工繁育国家重点保护水生野生动物名录》中非哺乳类动物；</w:t>
            </w:r>
          </w:p>
          <w:p w14:paraId="72FA1F3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3.涉案动物及其制品来源合法；</w:t>
            </w:r>
          </w:p>
          <w:p w14:paraId="1E3B695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4.涉案动物及其制品总数量不超过6个/只/头/尾/件；</w:t>
            </w:r>
          </w:p>
          <w:p w14:paraId="7FB88D6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5.初次违法；</w:t>
            </w:r>
          </w:p>
          <w:p w14:paraId="49D7CF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6.及时改正;</w:t>
            </w:r>
          </w:p>
          <w:p w14:paraId="78ACE6E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7.未造成危害后果。</w:t>
            </w:r>
          </w:p>
        </w:tc>
        <w:tc>
          <w:tcPr>
            <w:tcW w:w="5812" w:type="dxa"/>
            <w:shd w:val="clear" w:color="auto" w:fill="auto"/>
            <w:noWrap w:val="0"/>
            <w:vAlign w:val="center"/>
          </w:tcPr>
          <w:p w14:paraId="1C573E3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【法律】《中华人民共和国野生动物保护法》第二十八条第二款 因科学研究、人工繁育、公众展示展演、文物保护或者其他特殊情况，需要出售、购买、利用国家重点保护野生动物及其制品的，应当经省、自治区、直辖市人民政府野生动物保护主管部门批准，并按照规 定取得和使用专用标识，保证可追溯，但国务院对批准机关另有规定的除外。</w:t>
            </w:r>
          </w:p>
          <w:p w14:paraId="4824D5F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【法律】《中华人民共和国野生动物保护法》第二十九条第一款 对人工繁育技术成熟稳定的国家重点保护野生动物或者有重要生态、科学、社会价值的陆生野生动物，经科学论证评估，纳入国务院野生动物保护主管部门制定的人工繁育国家重点保护野生动物名录或者有重要生态、科学、社会价值的陆生野生动物名录，并适时调整。对列入名录的野生动物及其制品，可以凭人工繁育许可证或者备案，按照省、自治区、直辖市人民政府野生动物保护主管部门或者其授权的部门核验的年度生产数量直接取得专用标识，凭专用标识出售和利用，保证可追溯。</w:t>
            </w:r>
          </w:p>
          <w:p w14:paraId="37FEF45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【法律】《中华人民共和国野生动物保护法》第五十二条第一款 违反本法第二十八条第一款和第二款、第二十九条第一款、第三十四条第一款规定，未经批准、未取得或者未按照规定使用专用标识，或者未持有、未附有人工繁育许可证、批准文件的副本或者专用标识出售、购买、利用、运输、携带、寄递国家重点保护野生动物及其制品或者依照本法第二十九条第二款规定调出国家重点保护野生动物名录的野生动物及其制品的，由县级以上人民政府野生动物保护主管部门和市场监督管理部门按照职责分工没收野生动物及其制品和违法所得，责令关闭违法经营场所，并处野生动物及其制品价值二倍以上二十倍以下罚款；情节严重的，吊销人工繁育许可证、撤销批准文件、收回专用标识；构成犯罪的，依法追究刑事责任。</w:t>
            </w:r>
          </w:p>
        </w:tc>
        <w:tc>
          <w:tcPr>
            <w:tcW w:w="2017" w:type="dxa"/>
            <w:shd w:val="clear" w:color="auto" w:fill="auto"/>
            <w:noWrap w:val="0"/>
            <w:vAlign w:val="center"/>
          </w:tcPr>
          <w:p w14:paraId="624430D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2E99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36BE9EB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37</w:t>
            </w:r>
          </w:p>
        </w:tc>
        <w:tc>
          <w:tcPr>
            <w:tcW w:w="3112" w:type="dxa"/>
            <w:shd w:val="clear" w:color="auto" w:fill="auto"/>
            <w:noWrap w:val="0"/>
            <w:vAlign w:val="center"/>
          </w:tcPr>
          <w:p w14:paraId="762DA45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未按照规定使用专用标识利用《中华人民共和国野生动物保护法》第二十九条第二款规定的水生野生动物及其制品的</w:t>
            </w:r>
          </w:p>
        </w:tc>
        <w:tc>
          <w:tcPr>
            <w:tcW w:w="2693" w:type="dxa"/>
            <w:shd w:val="clear" w:color="auto" w:fill="auto"/>
            <w:noWrap w:val="0"/>
            <w:vAlign w:val="center"/>
          </w:tcPr>
          <w:p w14:paraId="4B3E1AF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1.用于非营利性的科学研究、公众展示展演、教育等活动；</w:t>
            </w:r>
          </w:p>
          <w:p w14:paraId="5C4E83A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2.涉案动物为非哺乳类水生野生动物；</w:t>
            </w:r>
          </w:p>
          <w:p w14:paraId="7F2571D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3.涉案动物及其制品总数量不超过6个/只/头/尾/件；</w:t>
            </w:r>
          </w:p>
          <w:p w14:paraId="7624302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4.初次违法；</w:t>
            </w:r>
          </w:p>
          <w:p w14:paraId="4C5FEC4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5.及时改正;</w:t>
            </w:r>
          </w:p>
          <w:p w14:paraId="1D7523A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6.未造成危害后果。</w:t>
            </w:r>
          </w:p>
        </w:tc>
        <w:tc>
          <w:tcPr>
            <w:tcW w:w="5812" w:type="dxa"/>
            <w:shd w:val="clear" w:color="auto" w:fill="auto"/>
            <w:noWrap w:val="0"/>
            <w:vAlign w:val="center"/>
          </w:tcPr>
          <w:p w14:paraId="2BE2D6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【法律】《中华人民共和国野生动物保护法》第二十九条第二款 对本法第十条规定的国家重点保护野生动物名录和有重要生态、科学、社会价值的陆生野生动物名录进行调整时，根据有关野外种群保护情况，可以对前款规定的有关人工繁育技术成熟稳定野生动物的人工种群，不再列入国家重点保护野生动物名录和有重要生态、科学、社会价值的陆生野生动物名录，实行与野外种群不同的管理措施，但应当依照本法第二十五条第二款、第三款和本条第一款的规定取得人工繁育许可证或者备案和专用标识。</w:t>
            </w:r>
          </w:p>
          <w:p w14:paraId="0F7B917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【法律】《中华人民共和国野生动物保护法》第五十二条第一款 违反本法第二十八条第一款和第二款、第二十九条第一款、第三十四条第一款规定，未经批准、未取得或者未按照规定使用专用标识，或者未持有、未附有人工繁育许可证、批准文件的副本或者专用标识出售、购买、利用、运输、携带、寄递国家重点保护野生动物及其制品或者依照本法第二十九条第二款规定调出国家重点保护野生动物名录的野生动物及其制品的，由县级以上人民政府野生动物保护主管部门和市场监督管理部门按照职责分工没收野生动物及其制品和违法所得，责令关闭违法经营场所，并处野生动物及其制品价值二倍以上二十倍以下罚款；情节严重的，吊销人工繁育许可证、撤销批准文件、收回专用标识；构成犯罪的，依法追究刑事责任。</w:t>
            </w:r>
          </w:p>
        </w:tc>
        <w:tc>
          <w:tcPr>
            <w:tcW w:w="2017" w:type="dxa"/>
            <w:shd w:val="clear" w:color="auto" w:fill="auto"/>
            <w:noWrap w:val="0"/>
            <w:vAlign w:val="center"/>
          </w:tcPr>
          <w:p w14:paraId="0449B5C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4140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34CA1CF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38</w:t>
            </w:r>
          </w:p>
        </w:tc>
        <w:tc>
          <w:tcPr>
            <w:tcW w:w="3112" w:type="dxa"/>
            <w:shd w:val="clear" w:color="auto" w:fill="auto"/>
            <w:noWrap w:val="0"/>
            <w:vAlign w:val="center"/>
          </w:tcPr>
          <w:p w14:paraId="3E259DF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未取得捕捞许可证进行捕捞的</w:t>
            </w:r>
          </w:p>
        </w:tc>
        <w:tc>
          <w:tcPr>
            <w:tcW w:w="2693" w:type="dxa"/>
            <w:shd w:val="clear" w:color="auto" w:fill="auto"/>
            <w:noWrap w:val="0"/>
            <w:vAlign w:val="center"/>
          </w:tcPr>
          <w:p w14:paraId="3DB1916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4C53258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2.未使用禁用工具；</w:t>
            </w:r>
          </w:p>
          <w:p w14:paraId="649199C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3.未捕获渔获物；</w:t>
            </w:r>
          </w:p>
          <w:p w14:paraId="3BF199D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4.及时改正；</w:t>
            </w:r>
          </w:p>
          <w:p w14:paraId="69995E5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5.未造成其他危害后果。</w:t>
            </w:r>
          </w:p>
        </w:tc>
        <w:tc>
          <w:tcPr>
            <w:tcW w:w="5812" w:type="dxa"/>
            <w:shd w:val="clear" w:color="auto" w:fill="auto"/>
            <w:noWrap w:val="0"/>
            <w:vAlign w:val="center"/>
          </w:tcPr>
          <w:p w14:paraId="6307985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【法律】《中华人民共和国渔业法》第二十三条第一款 国家对捕捞业实行捕捞许可证制度。</w:t>
            </w:r>
          </w:p>
          <w:p w14:paraId="03D9AF0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【法律】《中华人民共和国渔业法》第四十一条 未依法取得捕捞许可证擅自进行捕捞的，没收渔获物和违法所得，并处十万元以下的罚款；情节严重的，并可以没收渔具和渔船。</w:t>
            </w:r>
          </w:p>
        </w:tc>
        <w:tc>
          <w:tcPr>
            <w:tcW w:w="2017" w:type="dxa"/>
            <w:shd w:val="clear" w:color="auto" w:fill="auto"/>
            <w:noWrap w:val="0"/>
            <w:vAlign w:val="center"/>
          </w:tcPr>
          <w:p w14:paraId="46AE80E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36F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432" w:type="dxa"/>
            <w:noWrap w:val="0"/>
            <w:vAlign w:val="center"/>
          </w:tcPr>
          <w:p w14:paraId="7EF1CA83">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39</w:t>
            </w:r>
          </w:p>
        </w:tc>
        <w:tc>
          <w:tcPr>
            <w:tcW w:w="3112" w:type="dxa"/>
            <w:shd w:val="clear" w:color="auto" w:fill="auto"/>
            <w:noWrap w:val="0"/>
            <w:vAlign w:val="center"/>
          </w:tcPr>
          <w:p w14:paraId="1BA291D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农业机械维修者未按规定填写维修记录的</w:t>
            </w:r>
          </w:p>
        </w:tc>
        <w:tc>
          <w:tcPr>
            <w:tcW w:w="2693" w:type="dxa"/>
            <w:shd w:val="clear" w:color="auto" w:fill="auto"/>
            <w:noWrap w:val="0"/>
            <w:vAlign w:val="center"/>
          </w:tcPr>
          <w:p w14:paraId="6B46267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4625C9E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2.未发生维修质量问题，且不影响调查溯源；</w:t>
            </w:r>
          </w:p>
          <w:p w14:paraId="2ABE310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27F2B55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【部门规章】《农业机械维修管理规定》第十五条 农业机械维修者应当使用符合标准的量具、仪表、仪器等检测器具和其他维修设备，对农业机械的维修应当填写维修记录，并于每年一月份向农业机械化主管部门报送上一年度维修情况统计表。</w:t>
            </w:r>
          </w:p>
          <w:p w14:paraId="74931C6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【部门规章】《农业机械维修管理规定》第二十三条 农业机械维修者未按规定填写维修记录和报送年度维修情况统计表的，由农业机械化主管部门给予警告，限期改正；逾期拒不改正的，处100元以下罚款。</w:t>
            </w:r>
          </w:p>
        </w:tc>
        <w:tc>
          <w:tcPr>
            <w:tcW w:w="2017" w:type="dxa"/>
            <w:shd w:val="clear" w:color="auto" w:fill="auto"/>
            <w:noWrap w:val="0"/>
            <w:vAlign w:val="center"/>
          </w:tcPr>
          <w:p w14:paraId="67E76B6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2FFB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432" w:type="dxa"/>
            <w:noWrap w:val="0"/>
            <w:vAlign w:val="center"/>
          </w:tcPr>
          <w:p w14:paraId="01FE6EB3">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40</w:t>
            </w:r>
          </w:p>
        </w:tc>
        <w:tc>
          <w:tcPr>
            <w:tcW w:w="3112" w:type="dxa"/>
            <w:shd w:val="clear" w:color="auto" w:fill="auto"/>
            <w:noWrap w:val="0"/>
            <w:vAlign w:val="center"/>
          </w:tcPr>
          <w:p w14:paraId="6193F0E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农业机械维修者未按规定报送年度维修情况统计表的</w:t>
            </w:r>
          </w:p>
        </w:tc>
        <w:tc>
          <w:tcPr>
            <w:tcW w:w="2693" w:type="dxa"/>
            <w:shd w:val="clear" w:color="auto" w:fill="auto"/>
            <w:noWrap w:val="0"/>
            <w:vAlign w:val="center"/>
          </w:tcPr>
          <w:p w14:paraId="025D307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775027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2.逾期报送时间不超过三个月；</w:t>
            </w:r>
          </w:p>
          <w:p w14:paraId="529EC20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72AB913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【部门规章】《农业机械维修管理规定》第十五条 农业机械维修者应当使用符合标准的量具、仪表、仪器等检测器具和其他维修设备，对农业机械的维修应当填写维修记录，并于每年一月份向农业机械化主管部门报送上一年度维修情况统计表。</w:t>
            </w:r>
          </w:p>
          <w:p w14:paraId="09F57C3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【部门规章】《农业机械维修管理规定》第二十三条 农业机械维修者未按规定填写维修记录和报送年度维修情况统计表的，由农业机械化主管部门给予警告，限期改正；逾期拒不改正的，处100元以下罚款。</w:t>
            </w:r>
          </w:p>
        </w:tc>
        <w:tc>
          <w:tcPr>
            <w:tcW w:w="2017" w:type="dxa"/>
            <w:shd w:val="clear" w:color="auto" w:fill="auto"/>
            <w:noWrap w:val="0"/>
            <w:vAlign w:val="center"/>
          </w:tcPr>
          <w:p w14:paraId="2338B4A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5AD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228F773">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shd w:val="clear" w:color="auto" w:fill="auto"/>
            <w:noWrap w:val="0"/>
            <w:vAlign w:val="center"/>
          </w:tcPr>
          <w:p w14:paraId="543818C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跨区作业中介服务组织不配备相应的服务设施和技术人员的</w:t>
            </w:r>
          </w:p>
        </w:tc>
        <w:tc>
          <w:tcPr>
            <w:tcW w:w="2693" w:type="dxa"/>
            <w:shd w:val="clear" w:color="auto" w:fill="auto"/>
            <w:noWrap w:val="0"/>
            <w:vAlign w:val="center"/>
          </w:tcPr>
          <w:p w14:paraId="5BCA7C6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36466DD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2.未影响跨区作业正常开展，跨区作业相关方未受到损失，未产生较大不良社会影响；</w:t>
            </w:r>
          </w:p>
          <w:p w14:paraId="6971725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3.及时改正。</w:t>
            </w:r>
          </w:p>
        </w:tc>
        <w:tc>
          <w:tcPr>
            <w:tcW w:w="5812" w:type="dxa"/>
            <w:shd w:val="clear" w:color="auto" w:fill="auto"/>
            <w:noWrap w:val="0"/>
            <w:vAlign w:val="center"/>
          </w:tcPr>
          <w:p w14:paraId="036BA2E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【部门规章】《联合收割机跨区作业管理办法》</w:t>
            </w:r>
          </w:p>
          <w:p w14:paraId="504EA3C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第九条第二款 跨区作业中介服务组织应当配备相应的交通、通讯等服务设备和技术人员，为参加跨区作业的联合收割机及驾驶员提供优质服务，并遵守有关法律、法规和规章的规定。  </w:t>
            </w:r>
          </w:p>
          <w:p w14:paraId="207FFD5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【部门规章】《联合收割机跨区作业管理办法》</w:t>
            </w:r>
          </w:p>
          <w:p w14:paraId="29B1E82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第二十八条 跨区作业中介服务组织不配备相应的服务设施和技术人员，没有兑现服务承诺，只收费不服务或者多收费少服务的，由县级以上农机管理部门给予警告，责令退还服务费，可并处500元以上1000元以下的罚款；违反有关收费标准的，由县级以上农机管理部门配合价格主管部门依法查处。</w:t>
            </w:r>
          </w:p>
        </w:tc>
        <w:tc>
          <w:tcPr>
            <w:tcW w:w="2017" w:type="dxa"/>
            <w:shd w:val="clear" w:color="auto" w:fill="auto"/>
            <w:noWrap w:val="0"/>
            <w:vAlign w:val="center"/>
          </w:tcPr>
          <w:p w14:paraId="65B2D73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C05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FA097B9">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shd w:val="clear" w:color="auto" w:fill="auto"/>
            <w:noWrap w:val="0"/>
            <w:vAlign w:val="center"/>
          </w:tcPr>
          <w:p w14:paraId="3F5E4D6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回收拆解企业未按照《报废机动车回收管理办法实施细则》第十九条第二款之规定</w:t>
            </w:r>
            <w:r>
              <w:rPr>
                <w:rFonts w:hint="eastAsia" w:asciiTheme="minorEastAsia" w:hAnsiTheme="minorEastAsia" w:eastAsiaTheme="minorEastAsia" w:cstheme="minorEastAsia"/>
                <w:spacing w:val="-2"/>
                <w:kern w:val="0"/>
                <w:sz w:val="22"/>
                <w:szCs w:val="20"/>
              </w:rPr>
              <w:t>及时向公安机关交通管理部门办理机动车注销登记，并将注销证明转交机动车所有人</w:t>
            </w:r>
          </w:p>
        </w:tc>
        <w:tc>
          <w:tcPr>
            <w:tcW w:w="2693" w:type="dxa"/>
            <w:shd w:val="clear" w:color="auto" w:fill="auto"/>
            <w:noWrap w:val="0"/>
            <w:vAlign w:val="center"/>
          </w:tcPr>
          <w:p w14:paraId="4589159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73BE5F9F">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《报废机动车回收管理实施细则》（商务部令2020年第2号）</w:t>
            </w:r>
          </w:p>
          <w:p w14:paraId="1007A558">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第十九条第二款</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回收拆解企业应当按照国家有关规定及时向公安机关交通管理部门申请机动车注销登记，将注销证明及《报废机动车回收证明》交给机动车所有人。</w:t>
            </w:r>
          </w:p>
          <w:p w14:paraId="4553D2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rPr>
              <w:t>第四十四条</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违反本细则第十九条第二款规定，回收拆解企业未按照国家有关规定及时向公安机关交通管理部门办理机动车注销登记，并将注销证明转交机动车所有人的，由县级以上地方商务主管部门按照《管理办法》第二十二条规定责令改正，可以处1万元以上5万元以下的罚款。</w:t>
            </w:r>
          </w:p>
        </w:tc>
        <w:tc>
          <w:tcPr>
            <w:tcW w:w="2017" w:type="dxa"/>
            <w:shd w:val="clear" w:color="auto" w:fill="auto"/>
            <w:noWrap w:val="0"/>
            <w:vAlign w:val="center"/>
          </w:tcPr>
          <w:p w14:paraId="6A70BF3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县级以上地方商务主管部门</w:t>
            </w:r>
          </w:p>
        </w:tc>
      </w:tr>
      <w:tr w14:paraId="4342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F24C1F1">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shd w:val="clear" w:color="auto" w:fill="auto"/>
            <w:noWrap w:val="0"/>
            <w:vAlign w:val="center"/>
          </w:tcPr>
          <w:p w14:paraId="689C125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回收拆解企业违规开具或者发放《报废机动车回收证明》，或者未按照规定对已出具《报废机动车回收证明》的报废机动车进行拆解</w:t>
            </w:r>
          </w:p>
        </w:tc>
        <w:tc>
          <w:tcPr>
            <w:tcW w:w="2693" w:type="dxa"/>
            <w:shd w:val="clear" w:color="auto" w:fill="auto"/>
            <w:noWrap w:val="0"/>
            <w:vAlign w:val="center"/>
          </w:tcPr>
          <w:p w14:paraId="4FD9076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w:t>
            </w:r>
          </w:p>
        </w:tc>
        <w:tc>
          <w:tcPr>
            <w:tcW w:w="5812" w:type="dxa"/>
            <w:shd w:val="clear" w:color="auto" w:fill="auto"/>
            <w:noWrap w:val="0"/>
            <w:vAlign w:val="center"/>
          </w:tcPr>
          <w:p w14:paraId="554AA8F6">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《报废机动车回收管理实施细则》（商务部令2020年第2号）</w:t>
            </w:r>
          </w:p>
          <w:p w14:paraId="2C1AA67D">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第十九条第一款</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回收拆解企业在回收报废机动车后，应当通过“全国汽车流通信息管理应用服务”系统如实录入机动车信息，打印《报废机动车回收证明》，上传机动车拆解前照片，机动车拆解后，上传拆解后照片。上传的照片应当包括机动车拆解前整体外观、拆解后状况以及车辆识别代号等特征。对按照规定应当在公安机关监督下解体的报废机动车，回收拆解企业应当在机动车拆解后，打印《报废机动车回收证明》。</w:t>
            </w:r>
          </w:p>
          <w:p w14:paraId="41FBB42D">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第二十条</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报废机动车“五大总成”和尾气后处理装置，以及新能源汽车动力蓄电池不齐全的，机动车所有人应当书面说明情况，并对其真实性负责。机动车车架（或者车身）或者发动机缺失的应当认定为车辆缺失，回收拆解企业不得出具《报废机动车回收证明》。</w:t>
            </w:r>
          </w:p>
          <w:p w14:paraId="60D31C68">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第二十一条第一款</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机动车存在抵押、质押情形的，回收拆解企业不得出具《报废机动车回收证明》。</w:t>
            </w:r>
          </w:p>
          <w:p w14:paraId="7B2D922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 w:eastAsia="zh-CN"/>
              </w:rPr>
            </w:pPr>
            <w:r>
              <w:rPr>
                <w:rFonts w:hint="default" w:asciiTheme="minorEastAsia" w:hAnsiTheme="minorEastAsia" w:eastAsiaTheme="minorEastAsia" w:cstheme="minorEastAsia"/>
                <w:spacing w:val="-2"/>
                <w:kern w:val="0"/>
                <w:sz w:val="22"/>
                <w:szCs w:val="20"/>
              </w:rPr>
              <w:t>第四十三条第一款</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违反本细则第十九条第一款、第二十条、第二十一条的规定，回收拆解企业违规开具或者发放《报废机动车回收证明》，或者未按照规定对已出具《报废机动车回收证明》的报废机动车进行拆解的，由县级以上地方商务主管部门责令限期改正，整改期间暂停打印《报废机动车回收证明》；情节严重的，处1万元以上3万元以下的罚款。</w:t>
            </w:r>
          </w:p>
        </w:tc>
        <w:tc>
          <w:tcPr>
            <w:tcW w:w="2017" w:type="dxa"/>
            <w:shd w:val="clear" w:color="auto" w:fill="auto"/>
            <w:noWrap w:val="0"/>
            <w:vAlign w:val="center"/>
          </w:tcPr>
          <w:p w14:paraId="60B596F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县级以上地方商务主管部门</w:t>
            </w:r>
          </w:p>
        </w:tc>
      </w:tr>
      <w:tr w14:paraId="380E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32B49A2">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shd w:val="clear" w:color="auto" w:fill="auto"/>
            <w:noWrap w:val="0"/>
            <w:vAlign w:val="center"/>
          </w:tcPr>
          <w:p w14:paraId="56273F5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回收拆解企业未建立生产经营全覆盖的电子监控系统，或者录像保存不足1年</w:t>
            </w:r>
          </w:p>
        </w:tc>
        <w:tc>
          <w:tcPr>
            <w:tcW w:w="2693" w:type="dxa"/>
            <w:shd w:val="clear" w:color="auto" w:fill="auto"/>
            <w:noWrap w:val="0"/>
            <w:vAlign w:val="center"/>
          </w:tcPr>
          <w:p w14:paraId="0015905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w:t>
            </w:r>
          </w:p>
        </w:tc>
        <w:tc>
          <w:tcPr>
            <w:tcW w:w="5812" w:type="dxa"/>
            <w:shd w:val="clear" w:color="auto" w:fill="auto"/>
            <w:noWrap w:val="0"/>
            <w:vAlign w:val="center"/>
          </w:tcPr>
          <w:p w14:paraId="685DF8E9">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《报废机动车回收管理实施细则》（商务部令2020年第2号）</w:t>
            </w:r>
          </w:p>
          <w:p w14:paraId="4D6E105C">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第二十四条</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回收拆解企业拆解报废机动车应当符合国家标准《报废机动车回收拆解企业技术规范》（GB22128）相关要求，并建立生产经营全覆盖的电子监控系统，录像保存至少1年。</w:t>
            </w:r>
          </w:p>
          <w:p w14:paraId="02A1D42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rPr>
              <w:t>第四十六条</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违反本细则第二十四条规定，回收拆解企业未建立生产经营全覆盖的电子监控系统，或者录像保存不足1年的，由县级以上地方商务主管部门责令限期改正，整改期间暂停打印《报废机动车回收证明》；情节严重的，处1万元以上3万元以下的罚款。</w:t>
            </w:r>
          </w:p>
        </w:tc>
        <w:tc>
          <w:tcPr>
            <w:tcW w:w="2017" w:type="dxa"/>
            <w:shd w:val="clear" w:color="auto" w:fill="auto"/>
            <w:noWrap w:val="0"/>
            <w:vAlign w:val="center"/>
          </w:tcPr>
          <w:p w14:paraId="458E756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县级以上地方商务主管部门</w:t>
            </w:r>
          </w:p>
        </w:tc>
      </w:tr>
      <w:tr w14:paraId="702C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41D78DF">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shd w:val="clear" w:color="auto" w:fill="auto"/>
            <w:noWrap w:val="0"/>
            <w:vAlign w:val="center"/>
          </w:tcPr>
          <w:p w14:paraId="50F235A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回收拆解企业未按照《报废机动车回收管理办法实施细则》第十五条第一款之规定备案分支机构</w:t>
            </w:r>
          </w:p>
        </w:tc>
        <w:tc>
          <w:tcPr>
            <w:tcW w:w="2693" w:type="dxa"/>
            <w:shd w:val="clear" w:color="auto" w:fill="auto"/>
            <w:noWrap w:val="0"/>
            <w:vAlign w:val="center"/>
          </w:tcPr>
          <w:p w14:paraId="1192629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16DF3DE4">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《报废机动车回收管理实施细则》（商务部令2020年第2号）</w:t>
            </w:r>
          </w:p>
          <w:p w14:paraId="667AF5D3">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第十五条第一款</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回收拆解企业设立分支机构的，应当在市场监管部门注册登记后30日内通过“全国汽车流通信息管理应用服务”系统向分支机构注册登记所在地省级商务主管部门备案，并上传下列材料的电子文档：</w:t>
            </w:r>
          </w:p>
          <w:p w14:paraId="56FDE762">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（一）分支机构《营业执照》；</w:t>
            </w:r>
          </w:p>
          <w:p w14:paraId="0373007A">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（二）《报废机动车回收拆解企业分支机构备案信息表》。</w:t>
            </w:r>
          </w:p>
          <w:p w14:paraId="2D0897A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rPr>
              <w:t>第四十二条第一款</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违反本细则第十五条第一款规定，回收拆解企业未按照要求备案分支机构的，由分支机构注册登记所在地县级以上地方商务主管部门责令改正，并处1万元以上3万元以下的罚款。</w:t>
            </w:r>
          </w:p>
        </w:tc>
        <w:tc>
          <w:tcPr>
            <w:tcW w:w="2017" w:type="dxa"/>
            <w:shd w:val="clear" w:color="auto" w:fill="auto"/>
            <w:noWrap w:val="0"/>
            <w:vAlign w:val="center"/>
          </w:tcPr>
          <w:p w14:paraId="6335A17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县级以上地方商务主管部门</w:t>
            </w:r>
          </w:p>
        </w:tc>
      </w:tr>
      <w:tr w14:paraId="081F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694B0D6">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shd w:val="clear" w:color="auto" w:fill="auto"/>
            <w:noWrap w:val="0"/>
            <w:vAlign w:val="center"/>
          </w:tcPr>
          <w:p w14:paraId="46038D6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回收拆解企业不具备《报废机动车回收管理办法实施细则》第八条之规定的资质认定条件</w:t>
            </w:r>
          </w:p>
        </w:tc>
        <w:tc>
          <w:tcPr>
            <w:tcW w:w="2693" w:type="dxa"/>
            <w:shd w:val="clear" w:color="auto" w:fill="auto"/>
            <w:noWrap w:val="0"/>
            <w:vAlign w:val="center"/>
          </w:tcPr>
          <w:p w14:paraId="2491E6B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1106841B">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《报废机动车回收管理实施细则》（商务部令2020年第2号）</w:t>
            </w:r>
          </w:p>
          <w:p w14:paraId="363257C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rPr>
              <w:t>第三十四条第一款</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rPr>
              <w:t>县级以上地方商务主管部门发现回收拆解企业不再具备本细则第八条规定条件的，应当责令其限期整改；拒不改正或者逾期未改正的，由原发证机关撤销其《资质认定书》。</w:t>
            </w:r>
          </w:p>
        </w:tc>
        <w:tc>
          <w:tcPr>
            <w:tcW w:w="2017" w:type="dxa"/>
            <w:shd w:val="clear" w:color="auto" w:fill="auto"/>
            <w:noWrap w:val="0"/>
            <w:vAlign w:val="center"/>
          </w:tcPr>
          <w:p w14:paraId="0A01C6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县级以上地方商务主管部门</w:t>
            </w:r>
          </w:p>
        </w:tc>
      </w:tr>
      <w:tr w14:paraId="176F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40A7314">
            <w:pPr>
              <w:widowControl/>
              <w:numPr>
                <w:ilvl w:val="0"/>
                <w:numId w:val="1"/>
              </w:numPr>
              <w:spacing w:line="320" w:lineRule="exact"/>
              <w:ind w:left="425" w:leftChars="0" w:hanging="425" w:firstLineChars="0"/>
              <w:jc w:val="both"/>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shd w:val="clear" w:color="auto" w:fill="auto"/>
            <w:noWrap w:val="0"/>
            <w:vAlign w:val="center"/>
          </w:tcPr>
          <w:p w14:paraId="34EC82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发卡企业未按</w:t>
            </w:r>
            <w:r>
              <w:rPr>
                <w:rFonts w:hint="eastAsia" w:asciiTheme="minorEastAsia" w:hAnsiTheme="minorEastAsia" w:eastAsiaTheme="minorEastAsia" w:cstheme="minorEastAsia"/>
                <w:spacing w:val="-2"/>
                <w:kern w:val="0"/>
                <w:sz w:val="22"/>
                <w:szCs w:val="20"/>
                <w:lang w:eastAsia="zh-CN"/>
              </w:rPr>
              <w:t>《</w:t>
            </w:r>
            <w:r>
              <w:rPr>
                <w:rFonts w:hint="eastAsia" w:asciiTheme="minorEastAsia" w:hAnsiTheme="minorEastAsia" w:eastAsiaTheme="minorEastAsia" w:cstheme="minorEastAsia"/>
                <w:spacing w:val="-2"/>
                <w:kern w:val="0"/>
                <w:sz w:val="22"/>
                <w:szCs w:val="20"/>
              </w:rPr>
              <w:t>单用途商业预付卡管理办法（试行）</w:t>
            </w:r>
            <w:r>
              <w:rPr>
                <w:rFonts w:hint="eastAsia" w:asciiTheme="minorEastAsia" w:hAnsiTheme="minorEastAsia" w:eastAsiaTheme="minorEastAsia" w:cstheme="minorEastAsia"/>
                <w:spacing w:val="-2"/>
                <w:kern w:val="0"/>
                <w:sz w:val="22"/>
                <w:szCs w:val="20"/>
                <w:lang w:eastAsia="zh-CN"/>
              </w:rPr>
              <w:t>》第七条之规定办理备案的</w:t>
            </w:r>
          </w:p>
        </w:tc>
        <w:tc>
          <w:tcPr>
            <w:tcW w:w="2693" w:type="dxa"/>
            <w:shd w:val="clear" w:color="auto" w:fill="auto"/>
            <w:noWrap w:val="0"/>
            <w:vAlign w:val="center"/>
          </w:tcPr>
          <w:p w14:paraId="4C3532B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41933802">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w:t>
            </w:r>
            <w:r>
              <w:rPr>
                <w:rFonts w:hint="default" w:asciiTheme="minorEastAsia" w:hAnsiTheme="minorEastAsia" w:eastAsiaTheme="minorEastAsia" w:cstheme="minorEastAsia"/>
                <w:spacing w:val="-2"/>
                <w:kern w:val="0"/>
                <w:sz w:val="22"/>
                <w:szCs w:val="20"/>
              </w:rPr>
              <w:t>单用途商业预付卡管理办法（试行）</w:t>
            </w:r>
            <w:r>
              <w:rPr>
                <w:rFonts w:hint="eastAsia" w:asciiTheme="minorEastAsia" w:hAnsiTheme="minorEastAsia" w:eastAsiaTheme="minorEastAsia" w:cstheme="minorEastAsia"/>
                <w:spacing w:val="-2"/>
                <w:kern w:val="0"/>
                <w:sz w:val="22"/>
                <w:szCs w:val="20"/>
                <w:lang w:eastAsia="zh-CN"/>
              </w:rPr>
              <w:t>》（</w:t>
            </w:r>
            <w:r>
              <w:rPr>
                <w:rFonts w:hint="default" w:asciiTheme="minorEastAsia" w:hAnsiTheme="minorEastAsia" w:eastAsiaTheme="minorEastAsia" w:cstheme="minorEastAsia"/>
                <w:spacing w:val="-2"/>
                <w:kern w:val="0"/>
                <w:sz w:val="22"/>
                <w:szCs w:val="20"/>
                <w:lang w:val="en-US" w:eastAsia="zh-CN"/>
              </w:rPr>
              <w:t>商务部令2012年第9号</w:t>
            </w:r>
            <w:r>
              <w:rPr>
                <w:rFonts w:hint="eastAsia" w:asciiTheme="minorEastAsia" w:hAnsiTheme="minorEastAsia" w:eastAsiaTheme="minorEastAsia" w:cstheme="minorEastAsia"/>
                <w:spacing w:val="-2"/>
                <w:kern w:val="0"/>
                <w:sz w:val="22"/>
                <w:szCs w:val="20"/>
                <w:lang w:eastAsia="zh-CN"/>
              </w:rPr>
              <w:t>）</w:t>
            </w:r>
          </w:p>
          <w:p w14:paraId="058FFED4">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lang w:val="en-US" w:eastAsia="zh-CN"/>
              </w:rPr>
              <w:t>第七条 发卡企业应在开展单用途卡业务之日起30日内按照下列规定办理备案：</w:t>
            </w:r>
          </w:p>
          <w:p w14:paraId="265AFBD3">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lang w:val="en-US" w:eastAsia="zh-CN"/>
              </w:rPr>
              <w:t>（一）集团发卡企业和品牌发卡企业向其工商登记注册地省、自治区、直辖市人民政府商务主管部门备案；</w:t>
            </w:r>
          </w:p>
          <w:p w14:paraId="11C599A0">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lang w:val="en-US" w:eastAsia="zh-CN"/>
              </w:rPr>
              <w:t>（二）规模发卡企业向其工商登记注册地设区的市人民政府商务主管部门备案；</w:t>
            </w:r>
          </w:p>
          <w:p w14:paraId="052C6F55">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lang w:val="en-US" w:eastAsia="zh-CN"/>
              </w:rPr>
              <w:t>（三）其他发卡企业向其工商登记注册地县（市、区）人民政府商务主管部门备案。</w:t>
            </w:r>
          </w:p>
          <w:p w14:paraId="0B346346">
            <w:pPr>
              <w:widowControl/>
              <w:spacing w:line="320" w:lineRule="exact"/>
              <w:jc w:val="left"/>
              <w:textAlignment w:val="center"/>
              <w:rPr>
                <w:rFonts w:hint="default" w:asciiTheme="minorEastAsia" w:hAnsiTheme="minorEastAsia" w:eastAsiaTheme="minorEastAsia" w:cstheme="minorEastAsia"/>
                <w:spacing w:val="-2"/>
                <w:kern w:val="0"/>
                <w:sz w:val="22"/>
                <w:szCs w:val="20"/>
              </w:rPr>
            </w:pPr>
            <w:r>
              <w:rPr>
                <w:rFonts w:hint="default" w:asciiTheme="minorEastAsia" w:hAnsiTheme="minorEastAsia" w:eastAsiaTheme="minorEastAsia" w:cstheme="minorEastAsia"/>
                <w:spacing w:val="-2"/>
                <w:kern w:val="0"/>
                <w:sz w:val="22"/>
                <w:szCs w:val="20"/>
              </w:rPr>
              <w:t xml:space="preserve">第三十六条 发卡企业违反本办法第七条规定的，由违法行为发生地县级以上地方人民政府商务主管部门责令限期改正；逾期仍不改正的，处以1万元以上3万元以下罚款。 </w:t>
            </w:r>
          </w:p>
          <w:p w14:paraId="4E9088F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5B312FE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县级以上地方商务主管部门</w:t>
            </w:r>
          </w:p>
        </w:tc>
      </w:tr>
      <w:tr w14:paraId="3EBF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41C384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shd w:val="clear" w:color="auto" w:fill="auto"/>
            <w:noWrap w:val="0"/>
            <w:vAlign w:val="center"/>
          </w:tcPr>
          <w:p w14:paraId="695500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发卡企业或者售卡企业未按《单用途商业预付卡管理办法（试行）》第十四条之规定向售卡人提供章程、签订协议、提示告知</w:t>
            </w:r>
          </w:p>
        </w:tc>
        <w:tc>
          <w:tcPr>
            <w:tcW w:w="2693" w:type="dxa"/>
            <w:shd w:val="clear" w:color="auto" w:fill="auto"/>
            <w:noWrap w:val="0"/>
            <w:vAlign w:val="center"/>
          </w:tcPr>
          <w:p w14:paraId="429FF38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0943B20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w:t>
            </w:r>
            <w:r>
              <w:rPr>
                <w:rFonts w:hint="default" w:asciiTheme="minorEastAsia" w:hAnsiTheme="minorEastAsia" w:eastAsiaTheme="minorEastAsia" w:cstheme="minorEastAsia"/>
                <w:spacing w:val="-2"/>
                <w:kern w:val="0"/>
                <w:sz w:val="22"/>
                <w:szCs w:val="20"/>
                <w:lang w:val="en-US" w:eastAsia="zh-CN"/>
              </w:rPr>
              <w:t>单用途商业预付卡管理办法（试行</w:t>
            </w:r>
            <w:r>
              <w:rPr>
                <w:rFonts w:hint="eastAsia" w:asciiTheme="minorEastAsia" w:hAnsiTheme="minorEastAsia" w:eastAsiaTheme="minorEastAsia" w:cstheme="minorEastAsia"/>
                <w:spacing w:val="-2"/>
                <w:kern w:val="0"/>
                <w:sz w:val="22"/>
                <w:szCs w:val="20"/>
                <w:lang w:val="en-US" w:eastAsia="zh-CN"/>
              </w:rPr>
              <w:t>）》</w:t>
            </w:r>
          </w:p>
          <w:p w14:paraId="7B44D8D1">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第十四条 发卡企业或售卡企业应公示或向购卡人提供单用途卡章程，并应购卡人要求签订购卡协议。发卡企业或售卡企业应履行提示告知义务，确保购卡人知晓并认可单用途卡章程或协议内容。</w:t>
            </w:r>
          </w:p>
          <w:p w14:paraId="152E398B">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单用途卡章程和购卡协议应包括以下内容：</w:t>
            </w:r>
          </w:p>
          <w:p w14:paraId="0F1A4D0B">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（一）单用途卡的名称、种类和功能；</w:t>
            </w:r>
          </w:p>
          <w:p w14:paraId="1BBCEACD">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（二）单用途卡购买、充值、使用、退卡方式，记名卡还应包括挂失、转让方式；</w:t>
            </w:r>
          </w:p>
          <w:p w14:paraId="2DE31A6B">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（三）收费项目和标准；</w:t>
            </w:r>
          </w:p>
          <w:p w14:paraId="7C607A48">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（四）当事人的权利、义务；</w:t>
            </w:r>
          </w:p>
          <w:p w14:paraId="02220D52">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（五）纠纷处理原则和违约责任；</w:t>
            </w:r>
          </w:p>
          <w:p w14:paraId="689644C0">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（六）相关法律法规规章和规范性文件规定的其他事项。</w:t>
            </w:r>
          </w:p>
          <w:p w14:paraId="333411A5">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第三十七条</w:t>
            </w:r>
            <w:r>
              <w:rPr>
                <w:rFonts w:hint="eastAsia" w:asciiTheme="minorEastAsia" w:hAnsiTheme="minorEastAsia" w:eastAsiaTheme="minorEastAsia" w:cstheme="minorEastAsia"/>
                <w:spacing w:val="-2"/>
                <w:kern w:val="0"/>
                <w:sz w:val="22"/>
                <w:szCs w:val="20"/>
                <w:lang w:val="en-US" w:eastAsia="zh-CN"/>
              </w:rPr>
              <w:t>第一款</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 xml:space="preserve"> 发卡企业或售卡企业违反本办法第十四条至第二十二条规定的，由违法行为发生地县级以上地方人民政府商务主管部门责令限期改正；逾期仍不改正的，处以1万元以上3万元以下罚款。</w:t>
            </w:r>
          </w:p>
          <w:p w14:paraId="10171C2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028FE91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6517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3264A8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shd w:val="clear" w:color="auto" w:fill="auto"/>
            <w:noWrap w:val="0"/>
            <w:vAlign w:val="center"/>
          </w:tcPr>
          <w:p w14:paraId="5358977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发卡企业或者售卡企业未按《单用途商业预付卡管理办法（试行）》第十五条之规定要求购卡人或代理人出示证件、留存信息</w:t>
            </w:r>
          </w:p>
        </w:tc>
        <w:tc>
          <w:tcPr>
            <w:tcW w:w="2693" w:type="dxa"/>
            <w:shd w:val="clear" w:color="auto" w:fill="auto"/>
            <w:noWrap w:val="0"/>
            <w:vAlign w:val="center"/>
          </w:tcPr>
          <w:p w14:paraId="1F9AEB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085AF17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2D0E63E7">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第十五条 个人或单位购买（含充值，下同）记名卡的，或一次性购买1万元（含）以上不记名卡的，发卡企业或售卡企业应要求购卡人及其代理人出示有效身份证件，并留存购卡人及其代理人姓名或单位名称、有效身份证件号码和联系方式。</w:t>
            </w:r>
          </w:p>
          <w:p w14:paraId="0392A666">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个人有效身份证件包括</w:t>
            </w:r>
            <w:r>
              <w:rPr>
                <w:rFonts w:hint="default" w:asciiTheme="minorEastAsia" w:hAnsiTheme="minorEastAsia" w:eastAsiaTheme="minorEastAsia" w:cstheme="minorEastAsia"/>
                <w:spacing w:val="-2"/>
                <w:kern w:val="0"/>
                <w:sz w:val="22"/>
                <w:szCs w:val="20"/>
                <w:lang w:val="en-US" w:eastAsia="zh-CN"/>
              </w:rPr>
              <w:fldChar w:fldCharType="begin"/>
            </w:r>
            <w:r>
              <w:rPr>
                <w:rFonts w:hint="default" w:asciiTheme="minorEastAsia" w:hAnsiTheme="minorEastAsia" w:eastAsiaTheme="minorEastAsia" w:cstheme="minorEastAsia"/>
                <w:spacing w:val="-2"/>
                <w:kern w:val="0"/>
                <w:sz w:val="22"/>
                <w:szCs w:val="20"/>
                <w:lang w:val="en-US" w:eastAsia="zh-CN"/>
              </w:rPr>
              <w:instrText xml:space="preserve"> HYPERLINK "https://baike.baidu.com/item/%E5%B1%85%E6%B0%91%E8%BA%AB%E4%BB%BD%E8%AF%81/2080960?fromModule=lemma_inlink" \t "/home/sugon/文档\\x/_blank" </w:instrText>
            </w:r>
            <w:r>
              <w:rPr>
                <w:rFonts w:hint="default" w:asciiTheme="minorEastAsia" w:hAnsiTheme="minorEastAsia" w:eastAsiaTheme="minorEastAsia" w:cstheme="minorEastAsia"/>
                <w:spacing w:val="-2"/>
                <w:kern w:val="0"/>
                <w:sz w:val="22"/>
                <w:szCs w:val="20"/>
                <w:lang w:val="en-US" w:eastAsia="zh-CN"/>
              </w:rPr>
              <w:fldChar w:fldCharType="separate"/>
            </w:r>
            <w:r>
              <w:rPr>
                <w:rFonts w:hint="default" w:asciiTheme="minorEastAsia" w:hAnsiTheme="minorEastAsia" w:eastAsiaTheme="minorEastAsia" w:cstheme="minorEastAsia"/>
                <w:spacing w:val="-2"/>
                <w:kern w:val="0"/>
                <w:sz w:val="22"/>
                <w:szCs w:val="20"/>
                <w:lang w:val="en-US" w:eastAsia="zh-CN"/>
              </w:rPr>
              <w:t>居民身份证</w:t>
            </w:r>
            <w:r>
              <w:rPr>
                <w:rFonts w:hint="default" w:asciiTheme="minorEastAsia" w:hAnsiTheme="minorEastAsia" w:eastAsiaTheme="minorEastAsia" w:cstheme="minorEastAsia"/>
                <w:spacing w:val="-2"/>
                <w:kern w:val="0"/>
                <w:sz w:val="22"/>
                <w:szCs w:val="20"/>
                <w:lang w:val="en-US" w:eastAsia="zh-CN"/>
              </w:rPr>
              <w:fldChar w:fldCharType="end"/>
            </w:r>
            <w:r>
              <w:rPr>
                <w:rFonts w:hint="default" w:asciiTheme="minorEastAsia" w:hAnsiTheme="minorEastAsia" w:eastAsiaTheme="minorEastAsia" w:cstheme="minorEastAsia"/>
                <w:spacing w:val="-2"/>
                <w:kern w:val="0"/>
                <w:sz w:val="22"/>
                <w:szCs w:val="20"/>
                <w:lang w:val="en-US" w:eastAsia="zh-CN"/>
              </w:rPr>
              <w:t>、户口簿、军人身份证件、武警身份证件、港澳台居民通行证、护照等。单位有效身份证件包括营业执照、事业单位法人证书、税务登记证、组织机构代码证等。</w:t>
            </w:r>
          </w:p>
          <w:p w14:paraId="5A7B92EF">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第三十七条第一款</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发卡企业或售卡企业违反本办法第十四条至第二十二条规定的，由违法行为发生地县级以上地方人民政府商务主管部门责令限期改正；逾期仍不改正的，处以1万元以上3万元以下罚款。</w:t>
            </w:r>
          </w:p>
          <w:p w14:paraId="52A2C19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4127360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1AE6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E1DFA2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10</w:t>
            </w:r>
          </w:p>
        </w:tc>
        <w:tc>
          <w:tcPr>
            <w:tcW w:w="3112" w:type="dxa"/>
            <w:shd w:val="clear" w:color="auto" w:fill="auto"/>
            <w:noWrap w:val="0"/>
            <w:vAlign w:val="center"/>
          </w:tcPr>
          <w:p w14:paraId="69CEBF2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发卡企业或者售卡企业未按《单用途商业预付卡管理办法（试行）》第十六条之规定保存购卡人登记信息</w:t>
            </w:r>
          </w:p>
        </w:tc>
        <w:tc>
          <w:tcPr>
            <w:tcW w:w="2693" w:type="dxa"/>
            <w:shd w:val="clear" w:color="auto" w:fill="auto"/>
            <w:noWrap w:val="0"/>
            <w:vAlign w:val="center"/>
          </w:tcPr>
          <w:p w14:paraId="5957DB6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34F474B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181716D1">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第十六条 发卡企业和售卡企业应保存购卡人的登记信息5年以上。</w:t>
            </w:r>
          </w:p>
          <w:p w14:paraId="491F26D5">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发卡企业和售卡企业应对购卡人及其代理人的身份信息和交易信息保密，除法律另有规定外，不得向第三方提供。</w:t>
            </w:r>
          </w:p>
          <w:p w14:paraId="0C629901">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第三十七条第一款</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发卡企业或售卡企业违反本办法第十四条至第二十二条规定的，由违法行为发生地县级以上地方人民政府商务主管部门责令限期改正；逾期仍不改正的，处以1万元以上3万元以下罚款。</w:t>
            </w:r>
          </w:p>
          <w:p w14:paraId="4C41672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6FC95B2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1658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2F5927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11</w:t>
            </w:r>
          </w:p>
        </w:tc>
        <w:tc>
          <w:tcPr>
            <w:tcW w:w="3112" w:type="dxa"/>
            <w:shd w:val="clear" w:color="auto" w:fill="auto"/>
            <w:noWrap w:val="0"/>
            <w:vAlign w:val="center"/>
          </w:tcPr>
          <w:p w14:paraId="26F2DAE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发卡企业或者售卡企业未按《单用途商业预付卡管理办法（试行）》第十七条之规定收款、登记、开具发票</w:t>
            </w:r>
          </w:p>
        </w:tc>
        <w:tc>
          <w:tcPr>
            <w:tcW w:w="2693" w:type="dxa"/>
            <w:shd w:val="clear" w:color="auto" w:fill="auto"/>
            <w:noWrap w:val="0"/>
            <w:vAlign w:val="center"/>
          </w:tcPr>
          <w:p w14:paraId="42D66C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43041CD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246A3A44">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第十七条 单位一次性购买单用途卡金额达5000元（含）以上或个人一次性购卡金额达5万元（含）以上的，以及单位或个人采用非现场方式购卡的，应通过银行转账，不得使用现金，发卡企业或售卡企业应对转出、转入账户名称、账号、金额等进行逐笔登记。</w:t>
            </w:r>
          </w:p>
          <w:p w14:paraId="4AEFD5FE">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发卡企业和售卡企业应严格按照国家有关规定开具发票。</w:t>
            </w:r>
          </w:p>
          <w:p w14:paraId="53406017">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第三十七条第一款</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发卡企业或售卡企业违反本办法第十四条至第二十二条规定的，由违法行为发生地县级以上地方人民政府商务主管部门责令限期改正；逾期仍不改正的，处以1万元以上3万元以下罚款。</w:t>
            </w:r>
          </w:p>
          <w:p w14:paraId="2D30E70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333090C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6DB5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186F9F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12</w:t>
            </w:r>
          </w:p>
        </w:tc>
        <w:tc>
          <w:tcPr>
            <w:tcW w:w="3112" w:type="dxa"/>
            <w:shd w:val="clear" w:color="auto" w:fill="auto"/>
            <w:noWrap w:val="0"/>
            <w:vAlign w:val="center"/>
          </w:tcPr>
          <w:p w14:paraId="69B0EAC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单张预付卡限额超过《单用途商业预付卡管理办法（试行）》第十八条之规定</w:t>
            </w:r>
          </w:p>
        </w:tc>
        <w:tc>
          <w:tcPr>
            <w:tcW w:w="2693" w:type="dxa"/>
            <w:shd w:val="clear" w:color="auto" w:fill="auto"/>
            <w:noWrap w:val="0"/>
            <w:vAlign w:val="center"/>
          </w:tcPr>
          <w:p w14:paraId="5E799AF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64C012A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3C911437">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第十八条 单张记名卡限额不得超过5000元，单张不记名卡限额不得超过1000元。</w:t>
            </w:r>
          </w:p>
          <w:p w14:paraId="3A719AEB">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单张单用途卡充值后资金余额不得超过前款规定的限额。</w:t>
            </w:r>
          </w:p>
          <w:p w14:paraId="6D966961">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第三十七条第一款</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发卡企业或售卡企业违反本办法第十四条至第二十二条规定的，由违法行为发生地县级以上地方人民政府商务主管部门责令限期改正；逾期仍不改正的，处以1万元以上3万元以下罚款。</w:t>
            </w:r>
          </w:p>
          <w:p w14:paraId="2A5ED94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0C10BD3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1724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7F879B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13</w:t>
            </w:r>
          </w:p>
        </w:tc>
        <w:tc>
          <w:tcPr>
            <w:tcW w:w="3112" w:type="dxa"/>
            <w:shd w:val="clear" w:color="auto" w:fill="auto"/>
            <w:noWrap w:val="0"/>
            <w:vAlign w:val="center"/>
          </w:tcPr>
          <w:p w14:paraId="215062F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发卡企业或者售卡企业未按《单用途商业预付卡管理办法（试行）》第十九条之规定设定有效期或不提供激活、换卡等配套服务的</w:t>
            </w:r>
          </w:p>
        </w:tc>
        <w:tc>
          <w:tcPr>
            <w:tcW w:w="2693" w:type="dxa"/>
            <w:shd w:val="clear" w:color="auto" w:fill="auto"/>
            <w:noWrap w:val="0"/>
            <w:vAlign w:val="center"/>
          </w:tcPr>
          <w:p w14:paraId="088A7E2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79A8CBC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7BF4E099">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第十九条 记名卡不得设有效期；不记名卡有效期不得少于3年。</w:t>
            </w:r>
          </w:p>
          <w:p w14:paraId="58FF162B">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发卡企业或售卡企业对超过有效期尚有资金余额的不记名卡应提供激活、换卡等配套服务。</w:t>
            </w:r>
          </w:p>
          <w:p w14:paraId="6C23AFDE">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第三十七条第一款</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发卡企业或售卡企业违反本办法第十四条至第二十二条规定的，由违法行为发生地县级以上地方人民政府商务主管部门责令限期改正；逾期仍不改正的，处以1万元以上3万元以下罚款。</w:t>
            </w:r>
          </w:p>
          <w:p w14:paraId="3813E74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03FF3D0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777C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4D8022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14</w:t>
            </w:r>
          </w:p>
        </w:tc>
        <w:tc>
          <w:tcPr>
            <w:tcW w:w="3112" w:type="dxa"/>
            <w:shd w:val="clear" w:color="auto" w:fill="auto"/>
            <w:noWrap w:val="0"/>
            <w:vAlign w:val="center"/>
          </w:tcPr>
          <w:p w14:paraId="41B3E5F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发卡企业或者售卡企业未按《单用途商业预付卡管理办法（试行）》第二十条之规定退款。</w:t>
            </w:r>
          </w:p>
        </w:tc>
        <w:tc>
          <w:tcPr>
            <w:tcW w:w="2693" w:type="dxa"/>
            <w:shd w:val="clear" w:color="auto" w:fill="auto"/>
            <w:noWrap w:val="0"/>
            <w:vAlign w:val="center"/>
          </w:tcPr>
          <w:p w14:paraId="403B11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6A1EE7F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2647DCC9">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第二十条 使用单用途卡购买商品后需要退货的，发卡企业或受理企业应将资金退至原卡。原单用途卡不存在或退货后卡内资金余额超过单用途卡限额的，应退回至持卡人在同一发卡企业的同类单用途卡内。</w:t>
            </w:r>
          </w:p>
          <w:p w14:paraId="4448A780">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退货金额不足100元（含）的，可支付现金。</w:t>
            </w:r>
          </w:p>
          <w:p w14:paraId="65B29A74">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第三十七条第一款</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发卡企业或售卡企业违反本办法第十四条至第二十二条规定的，由违法行为发生地县级以上地方人民政府商务主管部门责令限期改正；逾期仍不改正的，处以1万元以上3万元以下罚款。</w:t>
            </w:r>
          </w:p>
          <w:p w14:paraId="084B139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34883B8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6A98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1695A3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15</w:t>
            </w:r>
          </w:p>
        </w:tc>
        <w:tc>
          <w:tcPr>
            <w:tcW w:w="3112" w:type="dxa"/>
            <w:shd w:val="clear" w:color="auto" w:fill="auto"/>
            <w:noWrap w:val="0"/>
            <w:vAlign w:val="center"/>
          </w:tcPr>
          <w:p w14:paraId="741D0C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发卡企业或者售卡企业未按《单用途商业预付卡管理办法（试行）》第二十一条之规定退卡</w:t>
            </w:r>
          </w:p>
        </w:tc>
        <w:tc>
          <w:tcPr>
            <w:tcW w:w="2693" w:type="dxa"/>
            <w:shd w:val="clear" w:color="auto" w:fill="auto"/>
            <w:noWrap w:val="0"/>
            <w:vAlign w:val="center"/>
          </w:tcPr>
          <w:p w14:paraId="2FDC2BE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4D05227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10B83281">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第二十一条</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发卡企业或售卡企业应依单用途卡章程或协议约定，提供退卡服务。</w:t>
            </w:r>
          </w:p>
          <w:p w14:paraId="50891C6E">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办理退卡时，发卡企业或售卡企业应要求退卡人出示有效身份证件，并留存退卡人姓名、有效身份证件号码、退卡卡号、金额等信息。</w:t>
            </w:r>
          </w:p>
          <w:p w14:paraId="1074D28D">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发卡企业或售卡企业应将资金退至与退卡人同名的银行账户内，并留存银行账户信息。卡内资金余额不足100元（含）的，可支付现金。</w:t>
            </w:r>
          </w:p>
          <w:p w14:paraId="208DBD1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002B8B2B">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第三十七条第一款</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发卡企业或售卡企业违反本办法第十四条至第二十二条规定的，由违法行为发生地县级以上地方人民政府商务主管部门责令限期改正；逾期仍不改正的，处以1万元以上3万元以下罚款。</w:t>
            </w:r>
          </w:p>
          <w:p w14:paraId="7170BCE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46A796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2C15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EAB949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16</w:t>
            </w:r>
          </w:p>
        </w:tc>
        <w:tc>
          <w:tcPr>
            <w:tcW w:w="3112" w:type="dxa"/>
            <w:shd w:val="clear" w:color="auto" w:fill="auto"/>
            <w:noWrap w:val="0"/>
            <w:vAlign w:val="center"/>
          </w:tcPr>
          <w:p w14:paraId="36E2845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发卡企业或者售卡企业未按《单用途商业预付卡管理办法（试行）》第二十二条之规定退卡</w:t>
            </w:r>
          </w:p>
        </w:tc>
        <w:tc>
          <w:tcPr>
            <w:tcW w:w="2693" w:type="dxa"/>
            <w:shd w:val="clear" w:color="auto" w:fill="auto"/>
            <w:noWrap w:val="0"/>
            <w:vAlign w:val="center"/>
          </w:tcPr>
          <w:p w14:paraId="511C64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4F5DF8D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522F8EF3">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第二十二条 发卡企业终止兑付未到期单用途卡的，发卡企业和售卡企业应向持卡人提供免费退卡服务，并在终止兑付日前至少30日在备案机关指定的媒体上进行公示。</w:t>
            </w:r>
          </w:p>
          <w:p w14:paraId="2FD619B5">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第三十七条第一款</w:t>
            </w:r>
            <w:r>
              <w:rPr>
                <w:rFonts w:hint="default" w:asciiTheme="minorEastAsia" w:hAnsiTheme="minorEastAsia" w:eastAsiaTheme="minorEastAsia" w:cstheme="minorEastAsia"/>
                <w:spacing w:val="-2"/>
                <w:kern w:val="0"/>
                <w:sz w:val="22"/>
                <w:szCs w:val="20"/>
                <w:lang w:val="en" w:eastAsia="zh-CN"/>
              </w:rPr>
              <w:t xml:space="preserve">  </w:t>
            </w:r>
            <w:r>
              <w:rPr>
                <w:rFonts w:hint="default" w:asciiTheme="minorEastAsia" w:hAnsiTheme="minorEastAsia" w:eastAsiaTheme="minorEastAsia" w:cstheme="minorEastAsia"/>
                <w:spacing w:val="-2"/>
                <w:kern w:val="0"/>
                <w:sz w:val="22"/>
                <w:szCs w:val="20"/>
                <w:lang w:val="en-US" w:eastAsia="zh-CN"/>
              </w:rPr>
              <w:t>发卡企业或售卡企业违反本办法第十四条至第二十二条规定的，由违法行为发生地县级以上地方人民政府商务主管部门责令限期改正；逾期仍不改正的，处以1万元以上3万元以下罚款。</w:t>
            </w:r>
          </w:p>
          <w:p w14:paraId="67A2060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6F9C6F1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3E44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7D1590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17</w:t>
            </w:r>
          </w:p>
        </w:tc>
        <w:tc>
          <w:tcPr>
            <w:tcW w:w="3112" w:type="dxa"/>
            <w:shd w:val="clear" w:color="auto" w:fill="auto"/>
            <w:noWrap w:val="0"/>
            <w:vAlign w:val="center"/>
          </w:tcPr>
          <w:p w14:paraId="212BE16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发卡企业未按《单用途商业预付卡管理办法（试行）》第二十四条之规定管理预售资金</w:t>
            </w:r>
          </w:p>
        </w:tc>
        <w:tc>
          <w:tcPr>
            <w:tcW w:w="2693" w:type="dxa"/>
            <w:shd w:val="clear" w:color="auto" w:fill="auto"/>
            <w:noWrap w:val="0"/>
            <w:vAlign w:val="center"/>
          </w:tcPr>
          <w:p w14:paraId="4C8BC0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3E80165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4122D949">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第二十四条 发卡企业应对预收资金进行严格管理。预收资金只能用于发卡企业主营业务，不得用于不动产、股权、证券等投资及借贷。</w:t>
            </w:r>
          </w:p>
          <w:p w14:paraId="2E0CCCA8">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第三十七条第二款  </w:t>
            </w:r>
            <w:r>
              <w:rPr>
                <w:rFonts w:hint="default" w:asciiTheme="minorEastAsia" w:hAnsiTheme="minorEastAsia" w:eastAsiaTheme="minorEastAsia" w:cstheme="minorEastAsia"/>
                <w:spacing w:val="-2"/>
                <w:kern w:val="0"/>
                <w:sz w:val="22"/>
                <w:szCs w:val="20"/>
                <w:lang w:val="en-US" w:eastAsia="zh-CN"/>
              </w:rPr>
              <w:t>发卡企业违反本办法第二十四条至第二十七条、第三十一条规定的，由备案机关责令限期改正；逾期仍不改正的，处以1万元以上3万元以下罚款。</w:t>
            </w:r>
          </w:p>
          <w:p w14:paraId="7F8E08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1B35AA1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7EB7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E843AB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18</w:t>
            </w:r>
          </w:p>
        </w:tc>
        <w:tc>
          <w:tcPr>
            <w:tcW w:w="3112" w:type="dxa"/>
            <w:shd w:val="clear" w:color="auto" w:fill="auto"/>
            <w:noWrap w:val="0"/>
            <w:vAlign w:val="center"/>
          </w:tcPr>
          <w:p w14:paraId="140FCFB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发卡企业预收资金余额超过《单用途商业预付卡管理办法（试行）》第二十五条之规定</w:t>
            </w:r>
          </w:p>
        </w:tc>
        <w:tc>
          <w:tcPr>
            <w:tcW w:w="2693" w:type="dxa"/>
            <w:shd w:val="clear" w:color="auto" w:fill="auto"/>
            <w:noWrap w:val="0"/>
            <w:vAlign w:val="center"/>
          </w:tcPr>
          <w:p w14:paraId="30B10BD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7B447A5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2919FD8E">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第二十五条 主营业务为零售业、住宿和餐饮业的发卡企业，预收资金余额不得超过其上一会计年度</w:t>
            </w:r>
            <w:r>
              <w:rPr>
                <w:rFonts w:hint="default" w:asciiTheme="minorEastAsia" w:hAnsiTheme="minorEastAsia" w:eastAsiaTheme="minorEastAsia" w:cstheme="minorEastAsia"/>
                <w:spacing w:val="-2"/>
                <w:kern w:val="0"/>
                <w:sz w:val="22"/>
                <w:szCs w:val="20"/>
                <w:lang w:val="en-US" w:eastAsia="zh-CN"/>
              </w:rPr>
              <w:fldChar w:fldCharType="begin"/>
            </w:r>
            <w:r>
              <w:rPr>
                <w:rFonts w:hint="default" w:asciiTheme="minorEastAsia" w:hAnsiTheme="minorEastAsia" w:eastAsiaTheme="minorEastAsia" w:cstheme="minorEastAsia"/>
                <w:spacing w:val="-2"/>
                <w:kern w:val="0"/>
                <w:sz w:val="22"/>
                <w:szCs w:val="20"/>
                <w:lang w:val="en-US" w:eastAsia="zh-CN"/>
              </w:rPr>
              <w:instrText xml:space="preserve"> HYPERLINK "https://baike.baidu.com/item/%E4%B8%BB%E8%90%A5%E4%B8%9A%E5%8A%A1%E6%94%B6%E5%85%A5/11055134?fromModule=lemma_inlink" \t "/home/sugon/文档\\x/_blank" </w:instrText>
            </w:r>
            <w:r>
              <w:rPr>
                <w:rFonts w:hint="default" w:asciiTheme="minorEastAsia" w:hAnsiTheme="minorEastAsia" w:eastAsiaTheme="minorEastAsia" w:cstheme="minorEastAsia"/>
                <w:spacing w:val="-2"/>
                <w:kern w:val="0"/>
                <w:sz w:val="22"/>
                <w:szCs w:val="20"/>
                <w:lang w:val="en-US" w:eastAsia="zh-CN"/>
              </w:rPr>
              <w:fldChar w:fldCharType="separate"/>
            </w:r>
            <w:r>
              <w:rPr>
                <w:rFonts w:hint="default" w:asciiTheme="minorEastAsia" w:hAnsiTheme="minorEastAsia" w:eastAsiaTheme="minorEastAsia" w:cstheme="minorEastAsia"/>
                <w:spacing w:val="-2"/>
                <w:kern w:val="0"/>
                <w:sz w:val="22"/>
                <w:szCs w:val="20"/>
                <w:lang w:val="en-US" w:eastAsia="zh-CN"/>
              </w:rPr>
              <w:t>主营业务收入</w:t>
            </w:r>
            <w:r>
              <w:rPr>
                <w:rFonts w:hint="default" w:asciiTheme="minorEastAsia" w:hAnsiTheme="minorEastAsia" w:eastAsiaTheme="minorEastAsia" w:cstheme="minorEastAsia"/>
                <w:spacing w:val="-2"/>
                <w:kern w:val="0"/>
                <w:sz w:val="22"/>
                <w:szCs w:val="20"/>
                <w:lang w:val="en-US" w:eastAsia="zh-CN"/>
              </w:rPr>
              <w:fldChar w:fldCharType="end"/>
            </w:r>
            <w:r>
              <w:rPr>
                <w:rFonts w:hint="default" w:asciiTheme="minorEastAsia" w:hAnsiTheme="minorEastAsia" w:eastAsiaTheme="minorEastAsia" w:cstheme="minorEastAsia"/>
                <w:spacing w:val="-2"/>
                <w:kern w:val="0"/>
                <w:sz w:val="22"/>
                <w:szCs w:val="20"/>
                <w:lang w:val="en-US" w:eastAsia="zh-CN"/>
              </w:rPr>
              <w:t>的40%；主营业务为居民服务业的发卡企业的预收资金余额不得超过其上一会计年度主营业务收入；工商注册登记不足一年的发卡企业的预收资金余额不得超过其注册资本的2倍。</w:t>
            </w:r>
          </w:p>
          <w:p w14:paraId="66C81D87">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集团发卡企业预收资金余额不得超过其上一会计年度本集团营业收入的30%。</w:t>
            </w:r>
          </w:p>
          <w:p w14:paraId="751E0CC2">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本办法所称预收资金是指发卡企业通过发行单用途卡所预收的资金总额，预收资金余额是指预收资金扣减已兑付商品或服务价款后的余额。</w:t>
            </w:r>
          </w:p>
          <w:p w14:paraId="76198F81">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第三十七条第二款  </w:t>
            </w:r>
            <w:r>
              <w:rPr>
                <w:rFonts w:hint="default" w:asciiTheme="minorEastAsia" w:hAnsiTheme="minorEastAsia" w:eastAsiaTheme="minorEastAsia" w:cstheme="minorEastAsia"/>
                <w:spacing w:val="-2"/>
                <w:kern w:val="0"/>
                <w:sz w:val="22"/>
                <w:szCs w:val="20"/>
                <w:lang w:val="en-US" w:eastAsia="zh-CN"/>
              </w:rPr>
              <w:t>发卡企业违反本办法第二十四条至第二十七条、第三十一条规定的，由备案机关责令限期改正；逾期仍不改正的，处以1万元以上3万元以下罚款。</w:t>
            </w:r>
          </w:p>
          <w:p w14:paraId="6B3177E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7102BC1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3011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8E8DE8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19</w:t>
            </w:r>
          </w:p>
        </w:tc>
        <w:tc>
          <w:tcPr>
            <w:tcW w:w="3112" w:type="dxa"/>
            <w:shd w:val="clear" w:color="auto" w:fill="auto"/>
            <w:noWrap w:val="0"/>
            <w:vAlign w:val="center"/>
          </w:tcPr>
          <w:p w14:paraId="06BC058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规模、集团、品牌发卡企业资金存管比例不符合《单用途商业预付卡管理办法（试行）》第二十六条之规定</w:t>
            </w:r>
          </w:p>
        </w:tc>
        <w:tc>
          <w:tcPr>
            <w:tcW w:w="2693" w:type="dxa"/>
            <w:shd w:val="clear" w:color="auto" w:fill="auto"/>
            <w:noWrap w:val="0"/>
            <w:vAlign w:val="center"/>
          </w:tcPr>
          <w:p w14:paraId="0B25726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01713D3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67527A9B">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第二十六条 规模发卡企业、集团发卡企业和品牌发卡企业实行资金存管制度。规模发卡企业存管资金比例不低于上一季度预收资金余额的20%；集团发卡企业存管资金比例不低于上一季度预收资金余额的30%；品牌发卡企业存管资金比例不低于上一季度预收资金余额的40%。</w:t>
            </w:r>
          </w:p>
          <w:p w14:paraId="7F8050F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第三十七条第二款  </w:t>
            </w:r>
            <w:r>
              <w:rPr>
                <w:rFonts w:hint="default" w:asciiTheme="minorEastAsia" w:hAnsiTheme="minorEastAsia" w:eastAsiaTheme="minorEastAsia" w:cstheme="minorEastAsia"/>
                <w:spacing w:val="-2"/>
                <w:kern w:val="0"/>
                <w:sz w:val="22"/>
                <w:szCs w:val="20"/>
                <w:lang w:val="en-US" w:eastAsia="zh-CN"/>
              </w:rPr>
              <w:t>发卡企业违反本办法第二十四条至第二十七条、第三十一条规定的，由备案机关责令限期改正；逾期仍不改正的，处以1万元以上3万元以下罚款。</w:t>
            </w:r>
          </w:p>
        </w:tc>
        <w:tc>
          <w:tcPr>
            <w:tcW w:w="2017" w:type="dxa"/>
            <w:shd w:val="clear" w:color="auto" w:fill="auto"/>
            <w:noWrap w:val="0"/>
            <w:vAlign w:val="center"/>
          </w:tcPr>
          <w:p w14:paraId="600D634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210C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647F07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20</w:t>
            </w:r>
          </w:p>
        </w:tc>
        <w:tc>
          <w:tcPr>
            <w:tcW w:w="3112" w:type="dxa"/>
            <w:shd w:val="clear" w:color="auto" w:fill="auto"/>
            <w:noWrap w:val="0"/>
            <w:vAlign w:val="center"/>
          </w:tcPr>
          <w:p w14:paraId="2823518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规模、集团、品牌发卡企业未按照《单用途商业预付卡管理办法（试行）》第二十七条之规定管理资金存管账户</w:t>
            </w:r>
          </w:p>
        </w:tc>
        <w:tc>
          <w:tcPr>
            <w:tcW w:w="2693" w:type="dxa"/>
            <w:shd w:val="clear" w:color="auto" w:fill="auto"/>
            <w:noWrap w:val="0"/>
            <w:vAlign w:val="center"/>
          </w:tcPr>
          <w:p w14:paraId="6E24999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06E05F2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p>
          <w:p w14:paraId="43C923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第二十七条 规模发卡企业、集团发卡企业和品牌发卡企业应确定一个商业银行账户作为资金存管账户，并与存管银行签订资金存管协议。</w:t>
            </w:r>
          </w:p>
          <w:p w14:paraId="3F88DFFC">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资金存管协议应规定存管银行对发卡企业资金存管比例进行监督，对超额调用存管资金的指令予以拒绝，并按照备案机关要求提供发卡企业资金存缴情况。</w:t>
            </w:r>
          </w:p>
          <w:p w14:paraId="302F4C9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第三十七条第二款  </w:t>
            </w:r>
            <w:r>
              <w:rPr>
                <w:rFonts w:hint="default" w:asciiTheme="minorEastAsia" w:hAnsiTheme="minorEastAsia" w:eastAsiaTheme="minorEastAsia" w:cstheme="minorEastAsia"/>
                <w:spacing w:val="-2"/>
                <w:kern w:val="0"/>
                <w:sz w:val="22"/>
                <w:szCs w:val="20"/>
                <w:lang w:val="en-US" w:eastAsia="zh-CN"/>
              </w:rPr>
              <w:t>发卡企业违反本办法第二十四条至第二十七条、第三十一条规定的，由备案机关责令限期改正；逾期仍不改正的，处以1万元以上3万元以下罚款。</w:t>
            </w:r>
          </w:p>
        </w:tc>
        <w:tc>
          <w:tcPr>
            <w:tcW w:w="2017" w:type="dxa"/>
            <w:shd w:val="clear" w:color="auto" w:fill="auto"/>
            <w:noWrap w:val="0"/>
            <w:vAlign w:val="center"/>
          </w:tcPr>
          <w:p w14:paraId="61B2013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44D0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8B74F7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21</w:t>
            </w:r>
          </w:p>
        </w:tc>
        <w:tc>
          <w:tcPr>
            <w:tcW w:w="3112" w:type="dxa"/>
            <w:shd w:val="clear" w:color="auto" w:fill="auto"/>
            <w:noWrap w:val="0"/>
            <w:vAlign w:val="center"/>
          </w:tcPr>
          <w:p w14:paraId="5AD1EBD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 w:eastAsia="zh-CN"/>
              </w:rPr>
            </w:pPr>
            <w:r>
              <w:rPr>
                <w:rFonts w:hint="eastAsia" w:asciiTheme="minorEastAsia" w:hAnsiTheme="minorEastAsia" w:eastAsiaTheme="minorEastAsia" w:cstheme="minorEastAsia"/>
                <w:spacing w:val="-2"/>
                <w:kern w:val="0"/>
                <w:sz w:val="22"/>
                <w:szCs w:val="20"/>
                <w:lang w:val="en-US" w:eastAsia="zh-CN"/>
              </w:rPr>
              <w:t>发卡企业未按照《单用途商业预付卡管理办法（试行）》第三十一条之规定填报单用途卡业务情况</w:t>
            </w:r>
          </w:p>
        </w:tc>
        <w:tc>
          <w:tcPr>
            <w:tcW w:w="2693" w:type="dxa"/>
            <w:shd w:val="clear" w:color="auto" w:fill="auto"/>
            <w:noWrap w:val="0"/>
            <w:vAlign w:val="center"/>
          </w:tcPr>
          <w:p w14:paraId="4686B5D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6B84E33D">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《单用途商业预付卡管理办法（试行）》</w:t>
            </w:r>
            <w:r>
              <w:rPr>
                <w:rFonts w:hint="default" w:asciiTheme="minorEastAsia" w:hAnsiTheme="minorEastAsia" w:eastAsiaTheme="minorEastAsia" w:cstheme="minorEastAsia"/>
                <w:spacing w:val="-2"/>
                <w:kern w:val="0"/>
                <w:sz w:val="22"/>
                <w:szCs w:val="20"/>
                <w:lang w:val="en-US" w:eastAsia="zh-CN"/>
              </w:rPr>
              <w:t>第三十一条 规模发卡企业应于每季度结束后15个工作日内，集团发卡企业和品牌发卡企业应于每季度结束后20个工作日内登录商务部“单用途商业预付卡业务信息系统”，填报上一季度单用途卡业务情况。其他发卡企业应于每年1月31日前填报《发卡企业单用途卡业务报告表》。</w:t>
            </w:r>
          </w:p>
          <w:p w14:paraId="1B5181FA">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发卡企业填报的信息应当准确、真实、完整，不得故意隐瞒或虚报。</w:t>
            </w:r>
          </w:p>
          <w:p w14:paraId="70A6D7FC">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第三十七条第二款  </w:t>
            </w:r>
            <w:r>
              <w:rPr>
                <w:rFonts w:hint="default" w:asciiTheme="minorEastAsia" w:hAnsiTheme="minorEastAsia" w:eastAsiaTheme="minorEastAsia" w:cstheme="minorEastAsia"/>
                <w:spacing w:val="-2"/>
                <w:kern w:val="0"/>
                <w:sz w:val="22"/>
                <w:szCs w:val="20"/>
                <w:lang w:val="en-US" w:eastAsia="zh-CN"/>
              </w:rPr>
              <w:t>发卡企业违反本办法第二十四条至第二十七条、第三十一条规定的，由备案机关责令限期改正；逾期仍不改正的，处以1万元以上3万元以下罚款。</w:t>
            </w:r>
          </w:p>
          <w:p w14:paraId="4B9E60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5A9D2FF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325A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4368F3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22</w:t>
            </w:r>
          </w:p>
        </w:tc>
        <w:tc>
          <w:tcPr>
            <w:tcW w:w="3112" w:type="dxa"/>
            <w:shd w:val="clear" w:color="auto" w:fill="auto"/>
            <w:noWrap w:val="0"/>
            <w:vAlign w:val="center"/>
          </w:tcPr>
          <w:p w14:paraId="77D6144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 w:eastAsia="zh-CN"/>
              </w:rPr>
              <w:t>特许人未明示收费用途的</w:t>
            </w:r>
          </w:p>
        </w:tc>
        <w:tc>
          <w:tcPr>
            <w:tcW w:w="2693" w:type="dxa"/>
            <w:shd w:val="clear" w:color="auto" w:fill="auto"/>
            <w:noWrap w:val="0"/>
            <w:vAlign w:val="center"/>
          </w:tcPr>
          <w:p w14:paraId="3F0F495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特许人在限期内改正</w:t>
            </w:r>
          </w:p>
        </w:tc>
        <w:tc>
          <w:tcPr>
            <w:tcW w:w="5812" w:type="dxa"/>
            <w:shd w:val="clear" w:color="auto" w:fill="auto"/>
            <w:noWrap w:val="0"/>
            <w:vAlign w:val="center"/>
          </w:tcPr>
          <w:p w14:paraId="775E70B8">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《商业特许经营管理条例》（国务院令第485号）</w:t>
            </w:r>
          </w:p>
          <w:p w14:paraId="60F52861">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第十六条 特许人要求被特许人在订立特许经营合同前支付费用的,应当以书面形式向被特许人说明该部分费用的用途以及退还的条件、方式。</w:t>
            </w:r>
          </w:p>
          <w:p w14:paraId="2325591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第二十六条 特许人违反本条例第十六条、第十九条规定的,由商务主管部门责令改正,可以处 1 万元以下的罚款;情节严重的,处 1 万元以上 5 万元以下的罚款,并予以公告。</w:t>
            </w:r>
          </w:p>
        </w:tc>
        <w:tc>
          <w:tcPr>
            <w:tcW w:w="2017" w:type="dxa"/>
            <w:shd w:val="clear" w:color="auto" w:fill="auto"/>
            <w:noWrap w:val="0"/>
            <w:vAlign w:val="center"/>
          </w:tcPr>
          <w:p w14:paraId="3BCF9E5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017C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C51247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23</w:t>
            </w:r>
          </w:p>
        </w:tc>
        <w:tc>
          <w:tcPr>
            <w:tcW w:w="3112" w:type="dxa"/>
            <w:shd w:val="clear" w:color="auto" w:fill="auto"/>
            <w:noWrap w:val="0"/>
            <w:vAlign w:val="center"/>
          </w:tcPr>
          <w:p w14:paraId="61AFAD1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特许人未按要求报告年度合同订立情况</w:t>
            </w:r>
          </w:p>
        </w:tc>
        <w:tc>
          <w:tcPr>
            <w:tcW w:w="2693" w:type="dxa"/>
            <w:shd w:val="clear" w:color="auto" w:fill="auto"/>
            <w:noWrap w:val="0"/>
            <w:vAlign w:val="center"/>
          </w:tcPr>
          <w:p w14:paraId="35C67A5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特许人在限期内改正</w:t>
            </w:r>
          </w:p>
        </w:tc>
        <w:tc>
          <w:tcPr>
            <w:tcW w:w="5812" w:type="dxa"/>
            <w:shd w:val="clear" w:color="auto" w:fill="auto"/>
            <w:noWrap w:val="0"/>
            <w:vAlign w:val="center"/>
          </w:tcPr>
          <w:p w14:paraId="3C2353DE">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《商业特许经营管理条例》第十九条 特许人应当在每年第一季度将其上一年度订立特许经营合同的情况向商务主管部门报告。</w:t>
            </w:r>
          </w:p>
          <w:p w14:paraId="50C4DB5F">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第二十六条 特许人违反本条例第十六条、第十九条规定的,由商务主管部门责令改正,可以处 1 万元以下的罚款;情节严重的,处 1 万元以上 5 万元以下的罚款,并予以公告。</w:t>
            </w:r>
          </w:p>
          <w:p w14:paraId="1827D73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shd w:val="clear" w:color="auto" w:fill="auto"/>
            <w:noWrap w:val="0"/>
            <w:vAlign w:val="center"/>
          </w:tcPr>
          <w:p w14:paraId="0B72BDD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714F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5DC2B2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24</w:t>
            </w:r>
          </w:p>
        </w:tc>
        <w:tc>
          <w:tcPr>
            <w:tcW w:w="3112" w:type="dxa"/>
            <w:shd w:val="clear" w:color="auto" w:fill="auto"/>
            <w:noWrap w:val="0"/>
            <w:vAlign w:val="center"/>
          </w:tcPr>
          <w:p w14:paraId="2D63210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对外劳务合作企业未依照《对外劳务合作管理条例》缴存或者补足备用金</w:t>
            </w:r>
          </w:p>
        </w:tc>
        <w:tc>
          <w:tcPr>
            <w:tcW w:w="2693" w:type="dxa"/>
            <w:shd w:val="clear" w:color="auto" w:fill="auto"/>
            <w:noWrap w:val="0"/>
            <w:vAlign w:val="center"/>
          </w:tcPr>
          <w:p w14:paraId="3E148E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在限期内改正的</w:t>
            </w:r>
          </w:p>
        </w:tc>
        <w:tc>
          <w:tcPr>
            <w:tcW w:w="5812" w:type="dxa"/>
            <w:shd w:val="clear" w:color="auto" w:fill="auto"/>
            <w:noWrap w:val="0"/>
            <w:vAlign w:val="center"/>
          </w:tcPr>
          <w:p w14:paraId="1BBF8A88">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《对外劳务合作管理条例》（国务院令第620号）</w:t>
            </w:r>
            <w:r>
              <w:rPr>
                <w:rFonts w:hint="default" w:asciiTheme="minorEastAsia" w:hAnsiTheme="minorEastAsia" w:eastAsiaTheme="minorEastAsia" w:cstheme="minorEastAsia"/>
                <w:spacing w:val="-2"/>
                <w:kern w:val="0"/>
                <w:sz w:val="22"/>
                <w:szCs w:val="20"/>
                <w:lang w:val="en-US" w:eastAsia="zh-CN"/>
              </w:rPr>
              <w:t>第九条</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lang w:val="en-US" w:eastAsia="zh-CN"/>
              </w:rPr>
              <w:t>对外劳务合作企业应当自工商行政管理部门登记之日起5个工作日内，在负责审批的商务主管部门指定的银行开设专门账户，缴存不低于300万元人民币的对外劳务合作风险处置备用金（以下简称备用金）。备用金也可以通过向负责审批的商务主管部门提交等额银行保函的方式缴存。</w:t>
            </w:r>
          </w:p>
          <w:p w14:paraId="2EF8F3D8">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负责审批的商务主管部门应当将缴存备用金的对外劳务合作企业名单向社会公布。</w:t>
            </w:r>
          </w:p>
          <w:p w14:paraId="2AB6343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第四十一条 对外劳务合作企业未依照本条例规定缴存或者补足备用金的，由商务主管部门责令改正；拒不改正的，吊销其对外劳务合作经营资格证书。</w:t>
            </w:r>
          </w:p>
        </w:tc>
        <w:tc>
          <w:tcPr>
            <w:tcW w:w="2017" w:type="dxa"/>
            <w:shd w:val="clear" w:color="auto" w:fill="auto"/>
            <w:noWrap w:val="0"/>
            <w:vAlign w:val="center"/>
          </w:tcPr>
          <w:p w14:paraId="47C0A6D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3471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C2422B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25</w:t>
            </w:r>
          </w:p>
        </w:tc>
        <w:tc>
          <w:tcPr>
            <w:tcW w:w="3112" w:type="dxa"/>
            <w:shd w:val="clear" w:color="auto" w:fill="auto"/>
            <w:noWrap w:val="0"/>
            <w:vAlign w:val="center"/>
          </w:tcPr>
          <w:p w14:paraId="123BABD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对外劳务合作企业未安排劳务人员接受培训，组织劳务人员赴国外工作</w:t>
            </w:r>
          </w:p>
        </w:tc>
        <w:tc>
          <w:tcPr>
            <w:tcW w:w="2693" w:type="dxa"/>
            <w:shd w:val="clear" w:color="auto" w:fill="auto"/>
            <w:noWrap w:val="0"/>
            <w:vAlign w:val="center"/>
          </w:tcPr>
          <w:p w14:paraId="1C3AF58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在限期内改正的</w:t>
            </w:r>
          </w:p>
        </w:tc>
        <w:tc>
          <w:tcPr>
            <w:tcW w:w="5812" w:type="dxa"/>
            <w:shd w:val="clear" w:color="auto" w:fill="auto"/>
            <w:noWrap w:val="0"/>
            <w:vAlign w:val="center"/>
          </w:tcPr>
          <w:p w14:paraId="5190A6AA">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《对外劳务合作管理条例》</w:t>
            </w:r>
            <w:r>
              <w:rPr>
                <w:rFonts w:hint="default" w:asciiTheme="minorEastAsia" w:hAnsiTheme="minorEastAsia" w:eastAsiaTheme="minorEastAsia" w:cstheme="minorEastAsia"/>
                <w:spacing w:val="-2"/>
                <w:kern w:val="0"/>
                <w:sz w:val="22"/>
                <w:szCs w:val="20"/>
                <w:lang w:val="en-US" w:eastAsia="zh-CN"/>
              </w:rPr>
              <w:t>第十二条</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lang w:val="en-US" w:eastAsia="zh-CN"/>
              </w:rPr>
              <w:t>对外劳务合作企业应当安排劳务人员接受赴国外工作所需的职业技能、安全防范知识、外语以及用工项目所在国家或者地区相关法律、宗教信仰、风俗习惯等知识的培训；未安排劳务人员接受培训的，不得组织劳务人员赴国外工作。</w:t>
            </w:r>
          </w:p>
          <w:p w14:paraId="08A02A19">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劳务人员应当接受培训，掌握赴国外工作所需的相关技能和知识，提高适应国外工作岗位要求以及安全防范的能力。</w:t>
            </w:r>
          </w:p>
          <w:p w14:paraId="59549E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第四十二条 对外劳务合作企业有下列情形之一的，由商务主管部门责令改正；拒不改正的，处5万元以上10万元以下的罚款，并对其主要负责人处1万元以上3万元以下的罚款：</w:t>
            </w:r>
          </w:p>
          <w:p w14:paraId="39BD905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（一）未安排劳务人员接受培训，组织劳务人员赴国外工作；</w:t>
            </w:r>
          </w:p>
          <w:p w14:paraId="5A55690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（二）未依照本条例规定为劳务人员购买在国外工作期间的人身意外伤害保险；</w:t>
            </w:r>
          </w:p>
          <w:p w14:paraId="189BA98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（三）未依照本条例规定安排随行管理人员。</w:t>
            </w:r>
          </w:p>
        </w:tc>
        <w:tc>
          <w:tcPr>
            <w:tcW w:w="2017" w:type="dxa"/>
            <w:shd w:val="clear" w:color="auto" w:fill="auto"/>
            <w:noWrap w:val="0"/>
            <w:vAlign w:val="center"/>
          </w:tcPr>
          <w:p w14:paraId="3050331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5514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1F5392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26</w:t>
            </w:r>
          </w:p>
        </w:tc>
        <w:tc>
          <w:tcPr>
            <w:tcW w:w="3112" w:type="dxa"/>
            <w:shd w:val="clear" w:color="auto" w:fill="auto"/>
            <w:noWrap w:val="0"/>
            <w:vAlign w:val="center"/>
          </w:tcPr>
          <w:p w14:paraId="4214189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未依照《对外劳务合作管理条例》规定为劳务人员购买在国外工作期间的人身意外伤害保险</w:t>
            </w:r>
          </w:p>
        </w:tc>
        <w:tc>
          <w:tcPr>
            <w:tcW w:w="2693" w:type="dxa"/>
            <w:shd w:val="clear" w:color="auto" w:fill="auto"/>
            <w:noWrap w:val="0"/>
            <w:vAlign w:val="center"/>
          </w:tcPr>
          <w:p w14:paraId="0627518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在限期内改正的</w:t>
            </w:r>
          </w:p>
        </w:tc>
        <w:tc>
          <w:tcPr>
            <w:tcW w:w="5812" w:type="dxa"/>
            <w:shd w:val="clear" w:color="auto" w:fill="auto"/>
            <w:noWrap w:val="0"/>
            <w:vAlign w:val="center"/>
          </w:tcPr>
          <w:p w14:paraId="611B1387">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《对外劳务合作管理条例》</w:t>
            </w:r>
            <w:r>
              <w:rPr>
                <w:rFonts w:hint="default" w:asciiTheme="minorEastAsia" w:hAnsiTheme="minorEastAsia" w:eastAsiaTheme="minorEastAsia" w:cstheme="minorEastAsia"/>
                <w:spacing w:val="-2"/>
                <w:kern w:val="0"/>
                <w:sz w:val="22"/>
                <w:szCs w:val="20"/>
                <w:lang w:val="en-US" w:eastAsia="zh-CN"/>
              </w:rPr>
              <w:t>第十三条</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lang w:val="en-US" w:eastAsia="zh-CN"/>
              </w:rPr>
              <w:t>对外劳务合作企业应当为劳务人员购买在国外工作期间的人身意外伤害保险。但是，对外劳务合作企业与国外雇主约定由国外雇主为劳务人员购买的除外。</w:t>
            </w:r>
          </w:p>
          <w:p w14:paraId="38154D7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第四十二条 对外劳务合作企业有下列情形之一的，由商务主管部门责令改正；拒不改正的，处5万元以上10万元以下的罚款，并对其主要负责人处1万元以上3万元以下的罚款：</w:t>
            </w:r>
          </w:p>
          <w:p w14:paraId="6756793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（一）未安排劳务人员接受培训，组织劳务人员赴国外工作；</w:t>
            </w:r>
          </w:p>
          <w:p w14:paraId="30D47A5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（二）未依照本条例规定为劳务人员购买在国外工作期间的人身意外伤害保险；</w:t>
            </w:r>
          </w:p>
          <w:p w14:paraId="28C390F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（三）未依照本条例规定安排随行管理人员。</w:t>
            </w:r>
          </w:p>
        </w:tc>
        <w:tc>
          <w:tcPr>
            <w:tcW w:w="2017" w:type="dxa"/>
            <w:shd w:val="clear" w:color="auto" w:fill="auto"/>
            <w:noWrap w:val="0"/>
            <w:vAlign w:val="center"/>
          </w:tcPr>
          <w:p w14:paraId="6F8A9EC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5BF8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A11442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27</w:t>
            </w:r>
          </w:p>
        </w:tc>
        <w:tc>
          <w:tcPr>
            <w:tcW w:w="3112" w:type="dxa"/>
            <w:shd w:val="clear" w:color="auto" w:fill="auto"/>
            <w:noWrap w:val="0"/>
            <w:vAlign w:val="center"/>
          </w:tcPr>
          <w:p w14:paraId="5810B69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未依照《对外劳务合作管理条例》规定安排随行管理人员</w:t>
            </w:r>
          </w:p>
        </w:tc>
        <w:tc>
          <w:tcPr>
            <w:tcW w:w="2693" w:type="dxa"/>
            <w:shd w:val="clear" w:color="auto" w:fill="auto"/>
            <w:noWrap w:val="0"/>
            <w:vAlign w:val="center"/>
          </w:tcPr>
          <w:p w14:paraId="27A9FED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在限期内改正的</w:t>
            </w:r>
          </w:p>
        </w:tc>
        <w:tc>
          <w:tcPr>
            <w:tcW w:w="5812" w:type="dxa"/>
            <w:shd w:val="clear" w:color="auto" w:fill="auto"/>
            <w:noWrap w:val="0"/>
            <w:vAlign w:val="center"/>
          </w:tcPr>
          <w:p w14:paraId="4345C1B0">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《对外劳务合作管理条例》</w:t>
            </w:r>
            <w:r>
              <w:rPr>
                <w:rFonts w:hint="default" w:asciiTheme="minorEastAsia" w:hAnsiTheme="minorEastAsia" w:eastAsiaTheme="minorEastAsia" w:cstheme="minorEastAsia"/>
                <w:spacing w:val="-2"/>
                <w:kern w:val="0"/>
                <w:sz w:val="22"/>
                <w:szCs w:val="20"/>
                <w:lang w:val="en-US" w:eastAsia="zh-CN"/>
              </w:rPr>
              <w:t>第十六条</w:t>
            </w:r>
            <w:r>
              <w:rPr>
                <w:rFonts w:hint="eastAsia" w:asciiTheme="minorEastAsia" w:hAnsiTheme="minorEastAsia" w:eastAsiaTheme="minorEastAsia" w:cstheme="minorEastAsia"/>
                <w:spacing w:val="-2"/>
                <w:kern w:val="0"/>
                <w:sz w:val="22"/>
                <w:szCs w:val="20"/>
                <w:lang w:val="en-US" w:eastAsia="zh-CN"/>
              </w:rPr>
              <w:t xml:space="preserve">  </w:t>
            </w:r>
            <w:r>
              <w:rPr>
                <w:rFonts w:hint="default" w:asciiTheme="minorEastAsia" w:hAnsiTheme="minorEastAsia" w:eastAsiaTheme="minorEastAsia" w:cstheme="minorEastAsia"/>
                <w:spacing w:val="-2"/>
                <w:kern w:val="0"/>
                <w:sz w:val="22"/>
                <w:szCs w:val="20"/>
                <w:lang w:val="en-US" w:eastAsia="zh-CN"/>
              </w:rPr>
              <w:t>对外劳务合作企业应当跟踪了解劳务人员在国外的工作、生活情况，协助解决劳务人员工作、生活中的困难和问题，及时向国外雇主反映劳务人员的合理要求。</w:t>
            </w:r>
          </w:p>
          <w:p w14:paraId="29B653E0">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对外劳务合作企业向同一国家或者地区派出的劳务人员数量超过100人的，应当安排随行管理人员，并将随行管理人员名单报中国驻用工项目所在国使馆、领馆备案。</w:t>
            </w:r>
          </w:p>
          <w:p w14:paraId="09F1A42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第四十二条 对外劳务合作企业有下列情形之一的，由商务主管部门责令改正；拒不改正的，处5万元以上10万元以下的罚款，并对其主要负责人处1万元以上3万元以下的罚款：</w:t>
            </w:r>
          </w:p>
          <w:p w14:paraId="3DD40A7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（一）未安排劳务人员接受培训，组织劳务人员赴国外工作；</w:t>
            </w:r>
          </w:p>
          <w:p w14:paraId="42E4514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（二）未依照本条例规定为劳务人员购买在国外工作期间的人身意外伤害保险；</w:t>
            </w:r>
          </w:p>
          <w:p w14:paraId="0925A0A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（三）未依照本条例规定安排随行管理人员。</w:t>
            </w:r>
          </w:p>
        </w:tc>
        <w:tc>
          <w:tcPr>
            <w:tcW w:w="2017" w:type="dxa"/>
            <w:shd w:val="clear" w:color="auto" w:fill="auto"/>
            <w:noWrap w:val="0"/>
            <w:vAlign w:val="center"/>
          </w:tcPr>
          <w:p w14:paraId="300E04B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2E3A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0DCBC9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28</w:t>
            </w:r>
          </w:p>
        </w:tc>
        <w:tc>
          <w:tcPr>
            <w:tcW w:w="3112" w:type="dxa"/>
            <w:shd w:val="clear" w:color="auto" w:fill="auto"/>
            <w:noWrap w:val="0"/>
            <w:vAlign w:val="center"/>
          </w:tcPr>
          <w:p w14:paraId="41183CF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对外劳务合作企业未将服务合同或者劳动合同、劳务合作合同副本以及劳务人员名单报商务主管部门备案</w:t>
            </w:r>
          </w:p>
        </w:tc>
        <w:tc>
          <w:tcPr>
            <w:tcW w:w="2693" w:type="dxa"/>
            <w:shd w:val="clear" w:color="auto" w:fill="auto"/>
            <w:noWrap w:val="0"/>
            <w:vAlign w:val="center"/>
          </w:tcPr>
          <w:p w14:paraId="6FF8D16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在限期内改正的</w:t>
            </w:r>
          </w:p>
        </w:tc>
        <w:tc>
          <w:tcPr>
            <w:tcW w:w="5812" w:type="dxa"/>
            <w:shd w:val="clear" w:color="auto" w:fill="auto"/>
            <w:noWrap w:val="0"/>
            <w:vAlign w:val="center"/>
          </w:tcPr>
          <w:p w14:paraId="3AE7192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《对外劳务合作管理条例》第四十五条  对外劳务合作企业有下列情形之一的，由商务主管部门责令改正；拒不改正的，处1万元以上2万元以下的罚款，并对其主要负责人处2000元以上5000元以下的罚款：</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（一）未将服务合同或者劳动合同、劳务合作合同副本以及劳务人员名单报商务主管部门备案；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（二）组织劳务人员出境后，未将有关情况向中国驻用工项目所在国使馆、领馆报告，或者未依照本条例规定将随行管理人员名单报负责审批的商务主管部门备案；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（三）未制定突发事件应急预案；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（四）停止开展对外劳务合作，未将其对劳务人员的安排方案报商务主管部门备案。</w:t>
            </w:r>
          </w:p>
        </w:tc>
        <w:tc>
          <w:tcPr>
            <w:tcW w:w="2017" w:type="dxa"/>
            <w:shd w:val="clear" w:color="auto" w:fill="auto"/>
            <w:noWrap w:val="0"/>
            <w:vAlign w:val="center"/>
          </w:tcPr>
          <w:p w14:paraId="0C63A0A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5591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3CA61F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29</w:t>
            </w:r>
          </w:p>
        </w:tc>
        <w:tc>
          <w:tcPr>
            <w:tcW w:w="3112" w:type="dxa"/>
            <w:shd w:val="clear" w:color="auto" w:fill="auto"/>
            <w:noWrap w:val="0"/>
            <w:vAlign w:val="center"/>
          </w:tcPr>
          <w:p w14:paraId="160FFF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组织劳务人员出境后，未将有关情况向中国驻用工项目所在国使馆、领馆报告，或者未依照《对外劳务合作管理条例》规定将随行管理人员名单报负责审批的商务主管部门备案</w:t>
            </w:r>
          </w:p>
        </w:tc>
        <w:tc>
          <w:tcPr>
            <w:tcW w:w="2693" w:type="dxa"/>
            <w:shd w:val="clear" w:color="auto" w:fill="auto"/>
            <w:noWrap w:val="0"/>
            <w:vAlign w:val="center"/>
          </w:tcPr>
          <w:p w14:paraId="666FAF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在限期内改正的</w:t>
            </w:r>
          </w:p>
        </w:tc>
        <w:tc>
          <w:tcPr>
            <w:tcW w:w="5812" w:type="dxa"/>
            <w:shd w:val="clear" w:color="auto" w:fill="auto"/>
            <w:noWrap w:val="0"/>
            <w:vAlign w:val="center"/>
          </w:tcPr>
          <w:p w14:paraId="1CB0270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《对外劳务合作管理条例》第四十五条 对外劳务合作企业有下列情形之一的，由商务主管部门责令改正；拒不改正的，处1万元以上2万元以下的罚款，并对其主要负责人处2000元以上5000元以下的罚款：</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（一）未将服务合同或者劳动合同、劳务合作合同副本以及劳务人员名单报商务主管部门备案；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（二）组织劳务人员出境后，未将有关情况向中国驻用工项目所在国使馆、领馆报告，或者未依照本条例规定将随行管理人员名单报负责审批的商务主管部门备案；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xml:space="preserve">    （三）未制定突发事件应急预案；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（四）停止开展对外劳务合作，未将其对劳务人员的安排方案报商务主管部门备案。</w:t>
            </w:r>
          </w:p>
        </w:tc>
        <w:tc>
          <w:tcPr>
            <w:tcW w:w="2017" w:type="dxa"/>
            <w:shd w:val="clear" w:color="auto" w:fill="auto"/>
            <w:noWrap w:val="0"/>
            <w:vAlign w:val="center"/>
          </w:tcPr>
          <w:p w14:paraId="7AA0E50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599E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0A9364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30</w:t>
            </w:r>
          </w:p>
        </w:tc>
        <w:tc>
          <w:tcPr>
            <w:tcW w:w="3112" w:type="dxa"/>
            <w:shd w:val="clear" w:color="auto" w:fill="auto"/>
            <w:noWrap w:val="0"/>
            <w:vAlign w:val="center"/>
          </w:tcPr>
          <w:p w14:paraId="2CAF89A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未制定突发事件应急预案</w:t>
            </w:r>
          </w:p>
        </w:tc>
        <w:tc>
          <w:tcPr>
            <w:tcW w:w="2693" w:type="dxa"/>
            <w:shd w:val="clear" w:color="auto" w:fill="auto"/>
            <w:noWrap w:val="0"/>
            <w:vAlign w:val="center"/>
          </w:tcPr>
          <w:p w14:paraId="0023662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在限期内改正的</w:t>
            </w:r>
          </w:p>
        </w:tc>
        <w:tc>
          <w:tcPr>
            <w:tcW w:w="5812" w:type="dxa"/>
            <w:shd w:val="clear" w:color="auto" w:fill="auto"/>
            <w:noWrap w:val="0"/>
            <w:vAlign w:val="center"/>
          </w:tcPr>
          <w:p w14:paraId="12D119E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《对外劳务合作管理条例》 第四十五条 对外劳务合作企业有下列情形之一的，由商务主管部门责令改正；拒不改正的，处1万元以上2万元以下的罚款，并对其主要负责人处2000元以上5000元以下的罚款：</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（一）未将服务合同或者劳动合同、劳务合作合同副本以及劳务人员名单报商务主管部门备案；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（二）组织劳务人员出境后，未将有关情况向中国驻用工项目所在国使馆、领馆报告，或者未依照本条例规定将随行管理人员名单报负责审批的商务主管部门备案；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xml:space="preserve">    （三）未制定突发事件应急预案；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（四）停止开展对外劳务合作，未将其对劳务人员的安排方案报商务主管部门备案。</w:t>
            </w:r>
          </w:p>
        </w:tc>
        <w:tc>
          <w:tcPr>
            <w:tcW w:w="2017" w:type="dxa"/>
            <w:shd w:val="clear" w:color="auto" w:fill="auto"/>
            <w:noWrap w:val="0"/>
            <w:vAlign w:val="center"/>
          </w:tcPr>
          <w:p w14:paraId="73515AF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0696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07F6A6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31</w:t>
            </w:r>
          </w:p>
        </w:tc>
        <w:tc>
          <w:tcPr>
            <w:tcW w:w="3112" w:type="dxa"/>
            <w:shd w:val="clear" w:color="auto" w:fill="auto"/>
            <w:noWrap w:val="0"/>
            <w:vAlign w:val="center"/>
          </w:tcPr>
          <w:p w14:paraId="764453D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停止开展对外劳务合作，未将其对劳务人员的安排方案报商务主管部门备案</w:t>
            </w:r>
          </w:p>
        </w:tc>
        <w:tc>
          <w:tcPr>
            <w:tcW w:w="2693" w:type="dxa"/>
            <w:shd w:val="clear" w:color="auto" w:fill="auto"/>
            <w:noWrap w:val="0"/>
            <w:vAlign w:val="center"/>
          </w:tcPr>
          <w:p w14:paraId="3922BA7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在限期内改正的</w:t>
            </w:r>
          </w:p>
        </w:tc>
        <w:tc>
          <w:tcPr>
            <w:tcW w:w="5812" w:type="dxa"/>
            <w:shd w:val="clear" w:color="auto" w:fill="auto"/>
            <w:noWrap w:val="0"/>
            <w:vAlign w:val="center"/>
          </w:tcPr>
          <w:p w14:paraId="7E3477B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《对外劳务合作管理条例》 第四十五条 对外劳务合作企业有下列情形之一的，由商务主管部门责令改正；拒不改正的，处1万元以上2万元以下的罚款，并对其主要负责人处2000元以上5000元以下的罚款：</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（一）未将服务合同或者劳动合同、劳务合作合同副本以及劳务人员名单报商务主管部门备案；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（二）组织劳务人员出境后，未将有关情况向中国驻用工项目所在国使馆、领馆报告，或者未依照本条例规定将随行管理人员名单报负责审批的商务主管部门备案；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xml:space="preserve">    （三）未制定突发事件应急预案；</w:t>
            </w:r>
            <w:r>
              <w:rPr>
                <w:rFonts w:hint="eastAsia" w:asciiTheme="minorEastAsia" w:hAnsiTheme="minorEastAsia" w:eastAsiaTheme="minorEastAsia" w:cstheme="minorEastAsia"/>
                <w:spacing w:val="-2"/>
                <w:kern w:val="0"/>
                <w:sz w:val="22"/>
                <w:szCs w:val="20"/>
                <w:lang w:val="en-US" w:eastAsia="zh-CN"/>
              </w:rPr>
              <w:br w:type="textWrapping"/>
            </w:r>
            <w:r>
              <w:rPr>
                <w:rFonts w:hint="eastAsia" w:asciiTheme="minorEastAsia" w:hAnsiTheme="minorEastAsia" w:eastAsiaTheme="minorEastAsia" w:cstheme="minorEastAsia"/>
                <w:spacing w:val="-2"/>
                <w:kern w:val="0"/>
                <w:sz w:val="22"/>
                <w:szCs w:val="20"/>
                <w:lang w:val="en-US" w:eastAsia="zh-CN"/>
              </w:rPr>
              <w:t>　　（四）停止开展对外劳务合作，未将其对劳务人员的安排方案报商务主管部门备案。</w:t>
            </w:r>
          </w:p>
        </w:tc>
        <w:tc>
          <w:tcPr>
            <w:tcW w:w="2017" w:type="dxa"/>
            <w:shd w:val="clear" w:color="auto" w:fill="auto"/>
            <w:noWrap w:val="0"/>
            <w:vAlign w:val="center"/>
          </w:tcPr>
          <w:p w14:paraId="3F1FD36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2F0C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08DCA7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32</w:t>
            </w:r>
          </w:p>
        </w:tc>
        <w:tc>
          <w:tcPr>
            <w:tcW w:w="3112" w:type="dxa"/>
            <w:shd w:val="clear" w:color="auto" w:fill="auto"/>
            <w:noWrap w:val="0"/>
            <w:vAlign w:val="center"/>
          </w:tcPr>
          <w:p w14:paraId="15D8268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经销商违反《汽车销售管理办法》第十条，未按规定公示价格和收费标准</w:t>
            </w:r>
          </w:p>
        </w:tc>
        <w:tc>
          <w:tcPr>
            <w:tcW w:w="2693" w:type="dxa"/>
            <w:shd w:val="clear" w:color="auto" w:fill="auto"/>
            <w:noWrap w:val="0"/>
            <w:vAlign w:val="center"/>
          </w:tcPr>
          <w:p w14:paraId="3670AD5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79BB11F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《汽车销售管理办法》(商务部令 2017 年第 1 号)第十条 经销商应当在经营场所以适当形式明示销售汽车、配件及其他相关产品的价格和各项服务收费标准,不得在标价之外加价销售或收取额外费用。</w:t>
            </w:r>
          </w:p>
          <w:p w14:paraId="1412038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第三十二条 违反本办法第十条、第十二条、第十四条、第十七条第一款、第二十一条、第二十三条第二款、第二十四条、第二十五条、第二十六条有关规定的,由县级以上地方商务主管部门责令改正,并可给予警告或 3 万元以下罚款。</w:t>
            </w:r>
          </w:p>
        </w:tc>
        <w:tc>
          <w:tcPr>
            <w:tcW w:w="2017" w:type="dxa"/>
            <w:shd w:val="clear" w:color="auto" w:fill="auto"/>
            <w:noWrap w:val="0"/>
            <w:vAlign w:val="center"/>
          </w:tcPr>
          <w:p w14:paraId="2CE7238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6D155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7C0A70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33</w:t>
            </w:r>
          </w:p>
        </w:tc>
        <w:tc>
          <w:tcPr>
            <w:tcW w:w="3112" w:type="dxa"/>
            <w:shd w:val="clear" w:color="auto" w:fill="auto"/>
            <w:noWrap w:val="0"/>
            <w:vAlign w:val="center"/>
          </w:tcPr>
          <w:p w14:paraId="2BC7A7C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经销商违反《汽车销售管理办法》第十一条，未明示所出售的汽车产品质量保证、保修服务及消费者需知悉的其他售后服务政策；未明示家用汽车产品的“三包”信息</w:t>
            </w:r>
          </w:p>
        </w:tc>
        <w:tc>
          <w:tcPr>
            <w:tcW w:w="2693" w:type="dxa"/>
            <w:shd w:val="clear" w:color="auto" w:fill="auto"/>
            <w:noWrap w:val="0"/>
            <w:vAlign w:val="center"/>
          </w:tcPr>
          <w:p w14:paraId="6200305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188C2F7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《汽车销售管理办法》第十一条 经销商应当在经营场所明示所出售的汽车产品质量保证、保修服务及消费者需知悉的其他售后服务政策,出售家用汽车产品的经销商还应当在经营场所明示家用汽车产品的“三包”信息。</w:t>
            </w:r>
          </w:p>
          <w:p w14:paraId="15A5C2E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第三十三条 违反本办法第十一条、第十五条、第十八条、第二十条第二款、第二十七条、第二十八条有关规定的,由县级以上地方商务主管部门责令改正,并可给予警告或 1 万元以下罚款。</w:t>
            </w:r>
          </w:p>
        </w:tc>
        <w:tc>
          <w:tcPr>
            <w:tcW w:w="2017" w:type="dxa"/>
            <w:shd w:val="clear" w:color="auto" w:fill="auto"/>
            <w:noWrap w:val="0"/>
            <w:vAlign w:val="center"/>
          </w:tcPr>
          <w:p w14:paraId="34A9D86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7F57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8B8348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34</w:t>
            </w:r>
          </w:p>
        </w:tc>
        <w:tc>
          <w:tcPr>
            <w:tcW w:w="3112" w:type="dxa"/>
            <w:shd w:val="clear" w:color="auto" w:fill="auto"/>
            <w:noWrap w:val="0"/>
            <w:vAlign w:val="center"/>
          </w:tcPr>
          <w:p w14:paraId="714A09F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供应商、经销商违反《汽车销售管理办法》第十八条，未建立健全消费者投诉制度</w:t>
            </w:r>
          </w:p>
        </w:tc>
        <w:tc>
          <w:tcPr>
            <w:tcW w:w="2693" w:type="dxa"/>
            <w:shd w:val="clear" w:color="auto" w:fill="auto"/>
            <w:noWrap w:val="0"/>
            <w:vAlign w:val="center"/>
          </w:tcPr>
          <w:p w14:paraId="7F3A1CB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shd w:val="clear" w:color="auto" w:fill="auto"/>
            <w:noWrap w:val="0"/>
            <w:vAlign w:val="center"/>
          </w:tcPr>
          <w:p w14:paraId="7916489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《汽车销售管理办法》第十八条 供应商、经销商应当建立健全消费者投诉制度,明确受理消费</w:t>
            </w:r>
          </w:p>
          <w:p w14:paraId="4D9048B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者投诉的具体部门和人员,并向消费者明示投诉渠道。投诉的受理、转交以及处理情况应当自收到投诉之日起 7 个工作日内通知投诉的消费者。</w:t>
            </w:r>
          </w:p>
          <w:p w14:paraId="600A740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第三十三条 违反本办法第十一条、第十五条、第十八条、第二十条第二款、第二十七条、第二十八条有关规定的,由县级以上地方商务主管部门责令改正，并可给予警告或 1 万元以下罚款。</w:t>
            </w:r>
          </w:p>
        </w:tc>
        <w:tc>
          <w:tcPr>
            <w:tcW w:w="2017" w:type="dxa"/>
            <w:shd w:val="clear" w:color="auto" w:fill="auto"/>
            <w:noWrap w:val="0"/>
            <w:vAlign w:val="center"/>
          </w:tcPr>
          <w:p w14:paraId="3E98662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3A87F58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90"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2A9372F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2524837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供应商、经销商违反《汽车销售管理办法》第二十条第二款，没有在本企业网站或经营场所公示与其合作的售后服务商名单</w:t>
            </w:r>
          </w:p>
        </w:tc>
        <w:tc>
          <w:tcPr>
            <w:tcW w:w="269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218BBFB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5EEC0FD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《汽车销售管理办法》第二十条第二款 供应商、经销商应当在本企业网站或经营场所公示与其合作的售后服务商名单。</w:t>
            </w:r>
          </w:p>
          <w:p w14:paraId="25D4DE8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第三十三条 违反本办法第十一条、第十五条、第十八条、第二十条第二款、第二十七条、第二十八条有关规定的,由县级以上地方商务主管部门责</w:t>
            </w:r>
          </w:p>
          <w:p w14:paraId="55C08B9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令改正,并可给予警告或 1 万元以下罚款。</w:t>
            </w:r>
          </w:p>
        </w:tc>
        <w:tc>
          <w:tcPr>
            <w:tcW w:w="2017" w:type="dxa"/>
            <w:tcBorders>
              <w:top w:val="single" w:color="auto" w:sz="4" w:space="0"/>
              <w:left w:val="nil"/>
              <w:bottom w:val="single" w:color="auto" w:sz="4" w:space="0"/>
              <w:right w:val="single" w:color="auto" w:sz="8" w:space="0"/>
              <w:tl2br w:val="nil"/>
              <w:tr2bl w:val="nil"/>
            </w:tcBorders>
            <w:shd w:val="clear" w:color="auto" w:fill="auto"/>
            <w:tcMar>
              <w:top w:w="15" w:type="dxa"/>
              <w:left w:w="15" w:type="dxa"/>
              <w:right w:w="15" w:type="dxa"/>
            </w:tcMar>
            <w:vAlign w:val="center"/>
          </w:tcPr>
          <w:p w14:paraId="547F94D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2CF8B701">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299"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6DEDD0E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5A814BD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供应商、经销商违反《汽车销售管理办法》第二十七条，自取得营业执照之日起未在 90 日内通过国务院商务主管部门全国汽车流通信息管理系统备案基本信息；基本信息发生变更的,自信息变更之日起 30 日内未完成信息更新；未及时通过全国汽车流通信息管理系统报送汽车销售数量、种类等信息。</w:t>
            </w:r>
          </w:p>
        </w:tc>
        <w:tc>
          <w:tcPr>
            <w:tcW w:w="269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28ADC2F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首次发现违规且危害后果轻微，在限期内改正的</w:t>
            </w:r>
          </w:p>
        </w:tc>
        <w:tc>
          <w:tcPr>
            <w:tcW w:w="58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41DE731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《汽车销售管理办法》 </w:t>
            </w:r>
            <w:r>
              <w:rPr>
                <w:rFonts w:hint="default" w:asciiTheme="minorEastAsia" w:hAnsiTheme="minorEastAsia" w:eastAsiaTheme="minorEastAsia" w:cstheme="minorEastAsia"/>
                <w:spacing w:val="-2"/>
                <w:kern w:val="0"/>
                <w:sz w:val="22"/>
                <w:szCs w:val="20"/>
                <w:lang w:val="en-US" w:eastAsia="zh-CN"/>
              </w:rPr>
              <w:t>第二十七条 供应商、经销商应当自取得营业执照之日起90日内通过国务院商务主管部门全国汽车流通信息管理系统备案基本信息。供应商、经销商备案的基本信息发生变更的，应当自信息变更之日起30日内完成信息更新。</w:t>
            </w:r>
          </w:p>
          <w:p w14:paraId="21308317">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　　本办法实施以前已设立的供应商、经销商应当自本办法实施之日起90日内按前款规定备案基本信息。</w:t>
            </w:r>
          </w:p>
          <w:p w14:paraId="4DDB3594">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default" w:asciiTheme="minorEastAsia" w:hAnsiTheme="minorEastAsia" w:eastAsiaTheme="minorEastAsia" w:cstheme="minorEastAsia"/>
                <w:spacing w:val="-2"/>
                <w:kern w:val="0"/>
                <w:sz w:val="22"/>
                <w:szCs w:val="20"/>
                <w:lang w:val="en-US" w:eastAsia="zh-CN"/>
              </w:rPr>
              <w:t>　　供应商、经销商应当按照国务院商务主管部门的要求，及时通过全国汽车流通信息管理系统报送汽车销售数量、种类等信息。</w:t>
            </w:r>
          </w:p>
          <w:p w14:paraId="3AECD6D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第三十三条 违反本办法第十一条、第十五条、第十八条、第二十条第二款、第二十七条、第二十八条有关规定的,由县级以上地方商务主管部门责令改正,并可给予警告或 1 万元以下罚款。</w:t>
            </w:r>
          </w:p>
          <w:p w14:paraId="5DBD92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tcBorders>
              <w:top w:val="single" w:color="auto" w:sz="4" w:space="0"/>
              <w:left w:val="nil"/>
              <w:bottom w:val="single" w:color="auto" w:sz="4" w:space="0"/>
              <w:right w:val="single" w:color="auto" w:sz="8" w:space="0"/>
              <w:tl2br w:val="nil"/>
              <w:tr2bl w:val="nil"/>
            </w:tcBorders>
            <w:shd w:val="clear" w:color="auto" w:fill="auto"/>
            <w:tcMar>
              <w:top w:w="15" w:type="dxa"/>
              <w:left w:w="15" w:type="dxa"/>
              <w:right w:w="15" w:type="dxa"/>
            </w:tcMar>
            <w:vAlign w:val="center"/>
          </w:tcPr>
          <w:p w14:paraId="27C06B3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县级以上地方商务主管部门</w:t>
            </w:r>
          </w:p>
        </w:tc>
      </w:tr>
      <w:tr w14:paraId="2A861ACB">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299"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6D72648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42906DF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网络出版服务单位未在其网站首页标明《网络出版服务许可证》编号</w:t>
            </w:r>
          </w:p>
        </w:tc>
        <w:tc>
          <w:tcPr>
            <w:tcW w:w="269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79E639C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1AE3F85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【规章】《网络出版服务管理规定》</w:t>
            </w:r>
          </w:p>
          <w:p w14:paraId="65A46F6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第十九条 网络出版服务单位应当在其网站首页上标明出版行政主管部门核发的《网络出版服务许可证》编号。</w:t>
            </w:r>
          </w:p>
          <w:p w14:paraId="71AE67C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互联网相关服务提供者在为网络出版服务单位提供人工干预搜索排名、广告、推广等服务时，应当查验服务对象的《网络出版服务许可证》及业务范围。</w:t>
            </w:r>
          </w:p>
          <w:p w14:paraId="6BE2F64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第五十八条 有下列行为之一的，由出版行政主管部门责令改正，予以警告，并处</w:t>
            </w:r>
            <w:r>
              <w:rPr>
                <w:rFonts w:ascii="Times New Roman" w:hAnsi="Times New Roman" w:eastAsia="宋体"/>
                <w:vanish w:val="0"/>
                <w:spacing w:val="-4"/>
                <w:kern w:val="0"/>
                <w:sz w:val="21"/>
                <w:szCs w:val="21"/>
              </w:rPr>
              <w:t>3</w:t>
            </w:r>
            <w:r>
              <w:rPr>
                <w:rFonts w:hint="eastAsia" w:ascii="宋体" w:eastAsia="宋体" w:cs="Times New Roman"/>
                <w:vanish w:val="0"/>
                <w:spacing w:val="-4"/>
                <w:kern w:val="0"/>
                <w:sz w:val="21"/>
                <w:szCs w:val="21"/>
              </w:rPr>
              <w:t>万元以下罚款：</w:t>
            </w:r>
          </w:p>
          <w:p w14:paraId="2050955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一</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违反本规定第十条，擅自与境内外中外合资经营、中外合作经营和外资经营的企业进行涉及网络出版服务业务的合作的；</w:t>
            </w:r>
          </w:p>
          <w:p w14:paraId="029F324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二</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违反本规定第十九条，未标明有关许可信息或者未核验有关网站的《网络出版服务许可证》的；</w:t>
            </w:r>
          </w:p>
          <w:p w14:paraId="3313868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三</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违反本规定第二十三条，未按规定实行编辑责任制度等管理制度的；</w:t>
            </w:r>
          </w:p>
          <w:p w14:paraId="394A245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四</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违反本规定第三十一条，未按规定或标准配备应用有关系统、设备或未健全有关管理制度的；</w:t>
            </w:r>
          </w:p>
          <w:p w14:paraId="6FC2C20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五</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未按本规定要求参加年度核验的；</w:t>
            </w:r>
          </w:p>
          <w:p w14:paraId="6548A0C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六</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违反本规定第四十四条，网络出版服务单位的法定代表人或主要负责人未取得《岗位培训合格证书》的；</w:t>
            </w:r>
          </w:p>
          <w:p w14:paraId="4E477EA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七</w:t>
            </w:r>
            <w:r>
              <w:rPr>
                <w:rFonts w:ascii="Times New Roman" w:hAnsi="Times New Roman" w:eastAsia="宋体"/>
                <w:vanish w:val="0"/>
                <w:spacing w:val="-4"/>
                <w:kern w:val="0"/>
                <w:sz w:val="21"/>
                <w:szCs w:val="21"/>
              </w:rPr>
              <w:t>)</w:t>
            </w:r>
            <w:r>
              <w:rPr>
                <w:rFonts w:hint="eastAsia" w:ascii="宋体" w:eastAsia="宋体" w:cs="Times New Roman"/>
                <w:vanish w:val="0"/>
                <w:spacing w:val="-4"/>
                <w:kern w:val="0"/>
                <w:sz w:val="21"/>
                <w:szCs w:val="21"/>
              </w:rPr>
              <w:t>违反出版行政主管部门关于网络出版其他管理规定的。</w:t>
            </w:r>
          </w:p>
        </w:tc>
        <w:tc>
          <w:tcPr>
            <w:tcW w:w="2017" w:type="dxa"/>
            <w:tcBorders>
              <w:top w:val="single" w:color="auto" w:sz="4" w:space="0"/>
              <w:left w:val="nil"/>
              <w:bottom w:val="single" w:color="auto" w:sz="4" w:space="0"/>
              <w:right w:val="single" w:color="auto" w:sz="8" w:space="0"/>
              <w:tl2br w:val="nil"/>
              <w:tr2bl w:val="nil"/>
            </w:tcBorders>
            <w:shd w:val="clear" w:color="auto" w:fill="auto"/>
            <w:tcMar>
              <w:top w:w="15" w:type="dxa"/>
              <w:left w:w="15" w:type="dxa"/>
              <w:right w:w="15" w:type="dxa"/>
            </w:tcMar>
            <w:vAlign w:val="center"/>
          </w:tcPr>
          <w:p w14:paraId="39398D3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苏州市文化广电和旅游局及各市（区）出版行政主管部门</w:t>
            </w:r>
          </w:p>
        </w:tc>
      </w:tr>
      <w:tr w14:paraId="71959FA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299"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6B6FF86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200E2C8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违反《互联网上网服务营业场所管理条例》第三十一条第五项，经营者未悬挂《网络文化经营许可证》或者未成年人禁入标志</w:t>
            </w:r>
          </w:p>
        </w:tc>
        <w:tc>
          <w:tcPr>
            <w:tcW w:w="269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752AE28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宋体" w:eastAsia="宋体" w:cs="Times New Roman" w:hAnsiTheme="minorHAnsi"/>
                <w:vanish w:val="0"/>
                <w:spacing w:val="-4"/>
                <w:kern w:val="0"/>
                <w:sz w:val="21"/>
                <w:szCs w:val="21"/>
                <w:lang w:val="en-US" w:eastAsia="zh-CN" w:bidi="ar-SA"/>
              </w:rPr>
            </w:pPr>
            <w:r>
              <w:rPr>
                <w:rFonts w:hint="eastAsia" w:ascii="宋体" w:eastAsia="宋体" w:cs="Times New Roman"/>
                <w:vanish w:val="0"/>
                <w:spacing w:val="-4"/>
                <w:kern w:val="0"/>
                <w:sz w:val="21"/>
                <w:szCs w:val="21"/>
              </w:rPr>
              <w:t>首次实施此类违法行为，违法行为轻微，立案调查前已经整改</w:t>
            </w:r>
            <w:r>
              <w:rPr>
                <w:rFonts w:hint="eastAsia" w:ascii="Times New Roman" w:hAnsi="Times New Roman" w:eastAsia="宋体" w:cs="Times New Roman"/>
                <w:vanish w:val="0"/>
                <w:spacing w:val="-4"/>
                <w:kern w:val="0"/>
                <w:sz w:val="21"/>
                <w:szCs w:val="21"/>
              </w:rPr>
              <w:t>到位，没有造成危害后果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top"/>
          </w:tcPr>
          <w:p w14:paraId="481A3D1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【行政法规】《互联网上网服务营业场所管理条例》</w:t>
            </w:r>
          </w:p>
          <w:p w14:paraId="74330D4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第三十一条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互联网上网服务营业场所经营单位违反本条例的规定，有下列行为之一的，由文化行政部门给予警告，可以并处</w:t>
            </w:r>
            <w:r>
              <w:rPr>
                <w:rFonts w:ascii="Times New Roman" w:hAnsi="Times New Roman" w:eastAsia="宋体"/>
                <w:vanish w:val="0"/>
                <w:spacing w:val="-4"/>
                <w:kern w:val="0"/>
                <w:sz w:val="21"/>
                <w:szCs w:val="21"/>
              </w:rPr>
              <w:t>15000</w:t>
            </w:r>
            <w:r>
              <w:rPr>
                <w:rFonts w:hint="eastAsia" w:ascii="宋体" w:eastAsia="宋体" w:cs="Times New Roman"/>
                <w:vanish w:val="0"/>
                <w:spacing w:val="-4"/>
                <w:kern w:val="0"/>
                <w:sz w:val="21"/>
                <w:szCs w:val="21"/>
              </w:rPr>
              <w:t>元以下的罚款；情节严重的，责令停业整顿，直至吊销《网络文化经营许可证》：</w:t>
            </w:r>
          </w:p>
          <w:p w14:paraId="386DD2E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（一）在规定的营业时间以外营业的；</w:t>
            </w:r>
          </w:p>
          <w:p w14:paraId="387103E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（二）接纳未成年人进入营业场所的；</w:t>
            </w:r>
          </w:p>
          <w:p w14:paraId="3A08C71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（三）经营非网络游戏的；</w:t>
            </w:r>
          </w:p>
          <w:p w14:paraId="49A56B5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（四）擅自停止实施经营管理技术措施的；</w:t>
            </w:r>
          </w:p>
          <w:p w14:paraId="042D7B1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（五）未悬挂《网络文化经营许可证》或者未成年人禁入标志的。</w:t>
            </w:r>
          </w:p>
          <w:p w14:paraId="5B5D7B7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jc w:val="left"/>
              <w:textAlignment w:val="center"/>
              <w:rPr>
                <w:rFonts w:hint="eastAsia" w:ascii="Times New Roman" w:hAnsi="Times New Roman" w:eastAsia="宋体" w:cstheme="minorBidi"/>
                <w:vanish w:val="0"/>
                <w:spacing w:val="-4"/>
                <w:kern w:val="0"/>
                <w:sz w:val="21"/>
                <w:szCs w:val="21"/>
                <w:lang w:val="en-US" w:eastAsia="zh-CN" w:bidi="ar-SA"/>
              </w:rPr>
            </w:pPr>
          </w:p>
        </w:tc>
        <w:tc>
          <w:tcPr>
            <w:tcW w:w="2017" w:type="dxa"/>
            <w:tcBorders>
              <w:top w:val="single" w:color="auto" w:sz="4" w:space="0"/>
              <w:left w:val="nil"/>
              <w:bottom w:val="single" w:color="auto" w:sz="4" w:space="0"/>
              <w:right w:val="single" w:color="auto" w:sz="8" w:space="0"/>
              <w:tl2br w:val="nil"/>
              <w:tr2bl w:val="nil"/>
            </w:tcBorders>
            <w:shd w:val="clear" w:color="auto" w:fill="auto"/>
            <w:tcMar>
              <w:top w:w="15" w:type="dxa"/>
              <w:left w:w="15" w:type="dxa"/>
              <w:right w:w="15" w:type="dxa"/>
            </w:tcMar>
            <w:vAlign w:val="center"/>
          </w:tcPr>
          <w:p w14:paraId="06E3D6C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苏州市文化广电和旅游局及各市（区）文化和旅游行政部门</w:t>
            </w:r>
          </w:p>
        </w:tc>
      </w:tr>
      <w:tr w14:paraId="31E9AC7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624"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2F7138C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66EDC73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违反《互联网上网服务营业场所管理条例》第三十三条第五项，经营者未按规定备案</w:t>
            </w:r>
          </w:p>
        </w:tc>
        <w:tc>
          <w:tcPr>
            <w:tcW w:w="269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58C1586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宋体" w:eastAsia="宋体" w:cs="Times New Roman" w:hAnsiTheme="minorHAnsi"/>
                <w:vanish w:val="0"/>
                <w:spacing w:val="-4"/>
                <w:kern w:val="0"/>
                <w:sz w:val="21"/>
                <w:szCs w:val="21"/>
                <w:lang w:val="en-US" w:eastAsia="zh-CN" w:bidi="ar-SA"/>
              </w:rPr>
            </w:pPr>
            <w:r>
              <w:rPr>
                <w:rFonts w:hint="eastAsia" w:ascii="宋体" w:eastAsia="宋体" w:cs="Times New Roman"/>
                <w:vanish w:val="0"/>
                <w:spacing w:val="-4"/>
                <w:kern w:val="0"/>
                <w:sz w:val="21"/>
                <w:szCs w:val="21"/>
              </w:rPr>
              <w:t>首次实施此类违法行为，违法行为轻微，责令限期备案后及时办理，没有造成危害后果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5211341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【行政法规】《互联网上网服务营业场所管理条例》</w:t>
            </w:r>
          </w:p>
          <w:p w14:paraId="3873841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第三十三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w:t>
            </w:r>
          </w:p>
          <w:p w14:paraId="071E0D9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（一）向上网消费者提供的计算机未通过局域网的方式接入互联网的；</w:t>
            </w:r>
          </w:p>
          <w:p w14:paraId="6143D96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（二）未建立场内巡查制度，或者发现上网消费者的违法行为未予制止并向文化行政部门、公安机关举报的；</w:t>
            </w:r>
          </w:p>
          <w:p w14:paraId="49353EA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（三）未按规定核对、登记上网消费者的有效身份证件或者记录有关上网信息的；</w:t>
            </w:r>
          </w:p>
          <w:p w14:paraId="7E41B77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（四）未按规定时间保存登记内容、记录备份，或者在保存期内修改、删除登记内容、记录备份的；</w:t>
            </w:r>
          </w:p>
          <w:p w14:paraId="3347280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（五）变更名称、住所、法定代表人或者主要负责人、注册资本、网络地址或者终止经营活动，未向文化行政部门、公安机关办理有关手续或者备案的。</w:t>
            </w:r>
          </w:p>
        </w:tc>
        <w:tc>
          <w:tcPr>
            <w:tcW w:w="2017" w:type="dxa"/>
            <w:tcBorders>
              <w:top w:val="single" w:color="auto" w:sz="4" w:space="0"/>
              <w:left w:val="nil"/>
              <w:bottom w:val="single" w:color="auto" w:sz="4" w:space="0"/>
              <w:right w:val="single" w:color="auto" w:sz="8" w:space="0"/>
              <w:tl2br w:val="nil"/>
              <w:tr2bl w:val="nil"/>
            </w:tcBorders>
            <w:shd w:val="clear" w:color="auto" w:fill="auto"/>
            <w:tcMar>
              <w:top w:w="15" w:type="dxa"/>
              <w:left w:w="15" w:type="dxa"/>
              <w:right w:w="15" w:type="dxa"/>
            </w:tcMar>
            <w:vAlign w:val="center"/>
          </w:tcPr>
          <w:p w14:paraId="75C4982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苏州市文化广电和旅游局及各市（区）文化和旅游行政部门</w:t>
            </w:r>
          </w:p>
        </w:tc>
      </w:tr>
      <w:tr w14:paraId="5421A83F">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6065"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34CD7DD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533896F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互联网上网服务营业场所经营单位违反规定的营业时间营业</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00EA646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宋体" w:eastAsia="宋体" w:cs="Times New Roman" w:hAnsiTheme="minorHAnsi"/>
                <w:vanish w:val="0"/>
                <w:spacing w:val="-4"/>
                <w:kern w:val="0"/>
                <w:sz w:val="21"/>
                <w:szCs w:val="21"/>
                <w:lang w:val="en-US" w:eastAsia="zh-CN" w:bidi="ar-SA"/>
              </w:rPr>
            </w:pPr>
            <w:r>
              <w:rPr>
                <w:rFonts w:hint="eastAsia" w:ascii="宋体" w:eastAsia="宋体" w:cs="Times New Roman"/>
                <w:vanish w:val="0"/>
                <w:spacing w:val="-4"/>
                <w:kern w:val="0"/>
                <w:sz w:val="21"/>
                <w:szCs w:val="21"/>
              </w:rPr>
              <w:t>未接纳未成年人，认真核对登记上网人员身份信息，积极配合调查，主动消除影响，违法行为轻微并及时改正，</w:t>
            </w:r>
            <w:r>
              <w:rPr>
                <w:rFonts w:hint="eastAsia" w:ascii="Times New Roman" w:hAnsi="Times New Roman" w:eastAsia="宋体" w:cs="Times New Roman"/>
                <w:vanish w:val="0"/>
                <w:spacing w:val="-4"/>
                <w:kern w:val="0"/>
                <w:sz w:val="21"/>
                <w:szCs w:val="21"/>
              </w:rPr>
              <w:t>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37CCDCB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【行政法规】《互联网上网服务营业场所管理条例》</w:t>
            </w:r>
          </w:p>
          <w:p w14:paraId="73E791D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第二十二条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互联网上网服务营业场所每日营业时间限于</w:t>
            </w:r>
            <w:r>
              <w:rPr>
                <w:rFonts w:ascii="Times New Roman" w:hAnsi="Times New Roman" w:eastAsia="宋体"/>
                <w:vanish w:val="0"/>
                <w:spacing w:val="-4"/>
                <w:kern w:val="0"/>
                <w:sz w:val="21"/>
                <w:szCs w:val="21"/>
              </w:rPr>
              <w:t>8</w:t>
            </w:r>
            <w:r>
              <w:rPr>
                <w:rFonts w:hint="eastAsia" w:ascii="宋体" w:eastAsia="宋体" w:cs="Times New Roman"/>
                <w:vanish w:val="0"/>
                <w:spacing w:val="-4"/>
                <w:kern w:val="0"/>
                <w:sz w:val="21"/>
                <w:szCs w:val="21"/>
              </w:rPr>
              <w:t>时至</w:t>
            </w:r>
            <w:r>
              <w:rPr>
                <w:rFonts w:ascii="Times New Roman" w:hAnsi="Times New Roman" w:eastAsia="宋体"/>
                <w:vanish w:val="0"/>
                <w:spacing w:val="-4"/>
                <w:kern w:val="0"/>
                <w:sz w:val="21"/>
                <w:szCs w:val="21"/>
              </w:rPr>
              <w:t>24</w:t>
            </w:r>
            <w:r>
              <w:rPr>
                <w:rFonts w:hint="eastAsia" w:ascii="宋体" w:eastAsia="宋体" w:cs="Times New Roman"/>
                <w:vanish w:val="0"/>
                <w:spacing w:val="-4"/>
                <w:kern w:val="0"/>
                <w:sz w:val="21"/>
                <w:szCs w:val="21"/>
              </w:rPr>
              <w:t>时。</w:t>
            </w:r>
          </w:p>
          <w:p w14:paraId="3B5B7E0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第三十一条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互联网上网服务营业场所经营单位违反本条例的规定，有下列行为之一的，由文化行政部门给予警告，可以并处</w:t>
            </w:r>
            <w:r>
              <w:rPr>
                <w:rFonts w:ascii="Times New Roman" w:hAnsi="Times New Roman" w:eastAsia="宋体"/>
                <w:vanish w:val="0"/>
                <w:spacing w:val="-4"/>
                <w:kern w:val="0"/>
                <w:sz w:val="21"/>
                <w:szCs w:val="21"/>
              </w:rPr>
              <w:t>15000</w:t>
            </w:r>
            <w:r>
              <w:rPr>
                <w:rFonts w:hint="eastAsia" w:ascii="宋体" w:eastAsia="宋体" w:cs="Times New Roman"/>
                <w:vanish w:val="0"/>
                <w:spacing w:val="-4"/>
                <w:kern w:val="0"/>
                <w:sz w:val="21"/>
                <w:szCs w:val="21"/>
              </w:rPr>
              <w:t>元以下的罚款；情节严重的，责令停业整顿，直至吊销《网络文化经营许可证》：</w:t>
            </w:r>
          </w:p>
          <w:p w14:paraId="40F6F90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（一）在规定的营业时间以外营业的；</w:t>
            </w:r>
          </w:p>
          <w:p w14:paraId="5157279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（二）接纳未成年人进入营业场所的；</w:t>
            </w:r>
          </w:p>
          <w:p w14:paraId="7AB0643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（三）经营非网络游戏的；</w:t>
            </w:r>
          </w:p>
          <w:p w14:paraId="6C09988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jc w:val="left"/>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（四）擅自停止实施经营管理技术措施的；</w:t>
            </w:r>
          </w:p>
          <w:p w14:paraId="232A921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jc w:val="left"/>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（五）未悬挂《网络文化经营许可证》或者未成年人禁入标志的。</w:t>
            </w: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49E75AB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苏州市文化广电和旅游局及各市（区）文化和旅游行政部门</w:t>
            </w:r>
          </w:p>
        </w:tc>
      </w:tr>
      <w:tr w14:paraId="1C90FA9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7193"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6CFCAD3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5D74571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游艺娱乐场所设置的电子游戏机在国家法定节假日外向未成年人提供</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7FBDF1A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宋体" w:eastAsia="宋体" w:cs="Times New Roman" w:hAnsiTheme="minorHAnsi"/>
                <w:vanish w:val="0"/>
                <w:spacing w:val="-4"/>
                <w:kern w:val="0"/>
                <w:sz w:val="21"/>
                <w:szCs w:val="21"/>
                <w:lang w:val="en-US" w:eastAsia="zh-CN" w:bidi="ar-SA"/>
              </w:rPr>
            </w:pPr>
            <w:r>
              <w:rPr>
                <w:rFonts w:hint="eastAsia" w:ascii="宋体" w:eastAsia="宋体" w:cs="Times New Roman"/>
                <w:vanish w:val="0"/>
                <w:spacing w:val="-4"/>
                <w:kern w:val="0"/>
                <w:sz w:val="21"/>
                <w:szCs w:val="21"/>
              </w:rPr>
              <w:t>未成年人在其监护人看护下进入游艺娱乐场所通过电子游戏机进行游艺娱乐，违法行为轻微，立案调查前已经整改到位，没有造成危害后果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656E9BE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【行政法规】《娱乐场所管理条例》</w:t>
            </w:r>
          </w:p>
          <w:p w14:paraId="6FD7E58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第四十八条 违反本条例规定，有下列情形之一的，由县级人民政府文化主管部门没收违法所得和非法财物，并处违法所得</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倍以上</w:t>
            </w:r>
            <w:r>
              <w:rPr>
                <w:rFonts w:ascii="Times New Roman" w:hAnsi="Times New Roman" w:eastAsia="宋体" w:cs="Times New Roman"/>
                <w:vanish w:val="0"/>
                <w:spacing w:val="-4"/>
                <w:kern w:val="0"/>
                <w:sz w:val="21"/>
                <w:szCs w:val="21"/>
              </w:rPr>
              <w:t>3</w:t>
            </w:r>
            <w:r>
              <w:rPr>
                <w:rFonts w:hint="eastAsia" w:ascii="宋体" w:eastAsia="宋体" w:cs="Times New Roman"/>
                <w:vanish w:val="0"/>
                <w:spacing w:val="-4"/>
                <w:kern w:val="0"/>
                <w:sz w:val="21"/>
                <w:szCs w:val="21"/>
              </w:rPr>
              <w:t>倍以下的罚款；没有违法所得或者违法所得不足</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万元的，并处</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万元以上</w:t>
            </w:r>
            <w:r>
              <w:rPr>
                <w:rFonts w:ascii="Times New Roman" w:hAnsi="Times New Roman" w:eastAsia="宋体" w:cs="Times New Roman"/>
                <w:vanish w:val="0"/>
                <w:spacing w:val="-4"/>
                <w:kern w:val="0"/>
                <w:sz w:val="21"/>
                <w:szCs w:val="21"/>
              </w:rPr>
              <w:t>3</w:t>
            </w:r>
            <w:r>
              <w:rPr>
                <w:rFonts w:hint="eastAsia" w:ascii="宋体" w:eastAsia="宋体" w:cs="Times New Roman"/>
                <w:vanish w:val="0"/>
                <w:spacing w:val="-4"/>
                <w:kern w:val="0"/>
                <w:sz w:val="21"/>
                <w:szCs w:val="21"/>
              </w:rPr>
              <w:t>万元以下的罚款；情节严重的，责令停业整顿</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个月至</w:t>
            </w:r>
            <w:r>
              <w:rPr>
                <w:rFonts w:ascii="Times New Roman" w:hAnsi="Times New Roman" w:eastAsia="宋体" w:cs="Times New Roman"/>
                <w:vanish w:val="0"/>
                <w:spacing w:val="-4"/>
                <w:kern w:val="0"/>
                <w:sz w:val="21"/>
                <w:szCs w:val="21"/>
              </w:rPr>
              <w:t>6</w:t>
            </w:r>
            <w:r>
              <w:rPr>
                <w:rFonts w:hint="eastAsia" w:ascii="宋体" w:eastAsia="宋体" w:cs="Times New Roman"/>
                <w:vanish w:val="0"/>
                <w:spacing w:val="-4"/>
                <w:kern w:val="0"/>
                <w:sz w:val="21"/>
                <w:szCs w:val="21"/>
              </w:rPr>
              <w:t>个月：</w:t>
            </w:r>
          </w:p>
          <w:p w14:paraId="58AAC56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（一）歌舞娱乐场所的歌曲点播系统与境外的曲库联接的；</w:t>
            </w:r>
          </w:p>
          <w:p w14:paraId="43D142B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（二）歌舞娱乐场所播放的曲目、屏幕画面或者游艺娱乐场所电子游戏机内的游戏项目含有本条例第十三条禁止内容的；</w:t>
            </w:r>
          </w:p>
          <w:p w14:paraId="68ED87E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（三）歌舞娱乐场所接纳未成年人的；</w:t>
            </w:r>
          </w:p>
          <w:p w14:paraId="5E56A6F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（四）游艺娱乐场所设置的电子游戏机在国家法定节假日外向未成年人提供的；</w:t>
            </w:r>
          </w:p>
          <w:p w14:paraId="7F3F675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（五）娱乐场所容纳的消费者超过核定人数的。</w:t>
            </w:r>
          </w:p>
          <w:p w14:paraId="4808A6D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【规章】《娱乐场所管理办法》</w:t>
            </w:r>
          </w:p>
          <w:p w14:paraId="283A173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第二十一条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游艺娱乐场所经营应当符合以下规定：</w:t>
            </w:r>
          </w:p>
          <w:p w14:paraId="7621C9A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（一）不得设置未经文化和旅游主管部门内容核查的游戏游艺设备；</w:t>
            </w:r>
          </w:p>
          <w:p w14:paraId="42BA90C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（二）进行有奖经营活动的，奖品目录应当报所在地县级文化和旅游主管部门备案；</w:t>
            </w:r>
          </w:p>
          <w:p w14:paraId="40539CE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（三）除国家法定节假日外，设置的电子游戏机不得向未成年人提供。</w:t>
            </w:r>
          </w:p>
          <w:p w14:paraId="61F87B6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第三十条　游艺娱乐场所违反本办法第二十一条第（一）项、第（二）项规定的，由县级以上人民政府文化和旅游主管部门责令改正，并处</w:t>
            </w:r>
            <w:r>
              <w:rPr>
                <w:rFonts w:ascii="Times New Roman" w:hAnsi="Times New Roman" w:eastAsia="宋体" w:cs="Times New Roman"/>
                <w:vanish w:val="0"/>
                <w:spacing w:val="-4"/>
                <w:kern w:val="0"/>
                <w:sz w:val="21"/>
                <w:szCs w:val="21"/>
              </w:rPr>
              <w:t>5000</w:t>
            </w:r>
            <w:r>
              <w:rPr>
                <w:rFonts w:hint="eastAsia" w:ascii="宋体" w:eastAsia="宋体" w:cs="Times New Roman"/>
                <w:vanish w:val="0"/>
                <w:spacing w:val="-4"/>
                <w:kern w:val="0"/>
                <w:sz w:val="21"/>
                <w:szCs w:val="21"/>
              </w:rPr>
              <w:t>元以上</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万元以下的罚款；违反本办法第二十一条第（三）项规定的，由县级以上人民政府文化和旅游主管部门依照《条例》第四十八条予以处罚。</w:t>
            </w:r>
          </w:p>
          <w:p w14:paraId="5BA2A52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408F798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苏州市文化广电和旅游局及各市（区）文化和旅游行政部门</w:t>
            </w:r>
          </w:p>
        </w:tc>
      </w:tr>
      <w:tr w14:paraId="5233F6E2">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8355"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33105CD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6D11DAF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歌舞娱乐场所接纳未成年人</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17E85EA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宋体" w:eastAsia="宋体" w:cs="Times New Roman" w:hAnsiTheme="minorHAnsi"/>
                <w:vanish w:val="0"/>
                <w:spacing w:val="-4"/>
                <w:kern w:val="0"/>
                <w:sz w:val="21"/>
                <w:szCs w:val="21"/>
                <w:lang w:val="en-US" w:eastAsia="zh-CN" w:bidi="ar-SA"/>
              </w:rPr>
            </w:pPr>
            <w:r>
              <w:rPr>
                <w:rFonts w:hint="eastAsia" w:ascii="宋体" w:eastAsia="宋体" w:cs="Times New Roman"/>
                <w:vanish w:val="0"/>
                <w:spacing w:val="-4"/>
                <w:kern w:val="0"/>
                <w:sz w:val="21"/>
                <w:szCs w:val="21"/>
              </w:rPr>
              <w:t>未成年人在其监护人看护下进入歌舞娱乐场所，违法行为轻微，立案调查前已经整改到位，没有造成危害后果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5781FF8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【行政法规】《娱乐场所管理条例》</w:t>
            </w:r>
          </w:p>
          <w:p w14:paraId="32DE3EC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第四十八条 违反本条例规定，有下列情形之一的，由县级人民政府文化主管部门没收违法所得和非法财物，并处违法所得</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倍以上</w:t>
            </w:r>
            <w:r>
              <w:rPr>
                <w:rFonts w:ascii="Times New Roman" w:hAnsi="Times New Roman" w:eastAsia="宋体" w:cs="Times New Roman"/>
                <w:vanish w:val="0"/>
                <w:spacing w:val="-4"/>
                <w:kern w:val="0"/>
                <w:sz w:val="21"/>
                <w:szCs w:val="21"/>
              </w:rPr>
              <w:t>3</w:t>
            </w:r>
            <w:r>
              <w:rPr>
                <w:rFonts w:hint="eastAsia" w:ascii="宋体" w:eastAsia="宋体" w:cs="Times New Roman"/>
                <w:vanish w:val="0"/>
                <w:spacing w:val="-4"/>
                <w:kern w:val="0"/>
                <w:sz w:val="21"/>
                <w:szCs w:val="21"/>
              </w:rPr>
              <w:t>倍以下的罚款；没有违法所得或者违法所得不足</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万元的，并处</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万元以上</w:t>
            </w:r>
            <w:r>
              <w:rPr>
                <w:rFonts w:ascii="Times New Roman" w:hAnsi="Times New Roman" w:eastAsia="宋体" w:cs="Times New Roman"/>
                <w:vanish w:val="0"/>
                <w:spacing w:val="-4"/>
                <w:kern w:val="0"/>
                <w:sz w:val="21"/>
                <w:szCs w:val="21"/>
              </w:rPr>
              <w:t>3</w:t>
            </w:r>
            <w:r>
              <w:rPr>
                <w:rFonts w:hint="eastAsia" w:ascii="宋体" w:eastAsia="宋体" w:cs="Times New Roman"/>
                <w:vanish w:val="0"/>
                <w:spacing w:val="-4"/>
                <w:kern w:val="0"/>
                <w:sz w:val="21"/>
                <w:szCs w:val="21"/>
              </w:rPr>
              <w:t>万元以下的罚款；情节严重的，责令停业整顿</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个月至</w:t>
            </w:r>
            <w:r>
              <w:rPr>
                <w:rFonts w:ascii="Times New Roman" w:hAnsi="Times New Roman" w:eastAsia="宋体" w:cs="Times New Roman"/>
                <w:vanish w:val="0"/>
                <w:spacing w:val="-4"/>
                <w:kern w:val="0"/>
                <w:sz w:val="21"/>
                <w:szCs w:val="21"/>
              </w:rPr>
              <w:t>6</w:t>
            </w:r>
            <w:r>
              <w:rPr>
                <w:rFonts w:hint="eastAsia" w:ascii="宋体" w:eastAsia="宋体" w:cs="Times New Roman"/>
                <w:vanish w:val="0"/>
                <w:spacing w:val="-4"/>
                <w:kern w:val="0"/>
                <w:sz w:val="21"/>
                <w:szCs w:val="21"/>
              </w:rPr>
              <w:t>个月：</w:t>
            </w:r>
          </w:p>
          <w:p w14:paraId="05B0C4A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（一）歌舞娱乐场所的歌曲点播系统与境外的曲库联接的；</w:t>
            </w:r>
          </w:p>
          <w:p w14:paraId="4B7E0F7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（二）歌舞娱乐场所播放的曲目、屏幕画面或者游艺娱乐场所电子游戏机内的游戏项目含有本条例第十三条禁止内容的；</w:t>
            </w:r>
          </w:p>
          <w:p w14:paraId="48B9FEA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（三）歌舞娱乐场所接纳未成年人的；</w:t>
            </w:r>
          </w:p>
          <w:p w14:paraId="4A6C33F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（四）游艺娱乐场所设置的电子游戏机在国家法定节假日外向未成年人提供的；</w:t>
            </w:r>
          </w:p>
          <w:p w14:paraId="467B7EB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（五）娱乐场所容纳的消费者超过核定人数的。</w:t>
            </w:r>
          </w:p>
          <w:p w14:paraId="14C0A77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【规章】《娱乐场所管理办法》</w:t>
            </w:r>
          </w:p>
          <w:p w14:paraId="60B0892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第二十一条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游艺娱乐场所经营应当符合以下规定：</w:t>
            </w:r>
          </w:p>
          <w:p w14:paraId="28AC98D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（一）不得设置未经文化和旅游主管部门内容核查的游戏游艺设备；</w:t>
            </w:r>
          </w:p>
          <w:p w14:paraId="38C64A4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（二）进行有奖经营活动的，奖品目录应当报所在地县级文化和旅游主管部门备案；</w:t>
            </w:r>
          </w:p>
          <w:p w14:paraId="1E95956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（三）除国家法定节假日外，设置的电子游戏机不得向未成年人提供。</w:t>
            </w:r>
          </w:p>
          <w:p w14:paraId="11C63AA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第三十条　游艺娱乐场所违反本办法第二十一条第（一）项、第（二）项规定的，由县级以上人民政府文化和旅游主管部门责令改正，并处</w:t>
            </w:r>
            <w:r>
              <w:rPr>
                <w:rFonts w:ascii="Times New Roman" w:hAnsi="Times New Roman" w:eastAsia="宋体" w:cs="Times New Roman"/>
                <w:vanish w:val="0"/>
                <w:spacing w:val="-4"/>
                <w:kern w:val="0"/>
                <w:sz w:val="21"/>
                <w:szCs w:val="21"/>
              </w:rPr>
              <w:t>5000</w:t>
            </w:r>
            <w:r>
              <w:rPr>
                <w:rFonts w:hint="eastAsia" w:ascii="宋体" w:eastAsia="宋体" w:cs="Times New Roman"/>
                <w:vanish w:val="0"/>
                <w:spacing w:val="-4"/>
                <w:kern w:val="0"/>
                <w:sz w:val="21"/>
                <w:szCs w:val="21"/>
              </w:rPr>
              <w:t>元以上</w:t>
            </w:r>
            <w:r>
              <w:rPr>
                <w:rFonts w:ascii="Times New Roman" w:hAnsi="Times New Roman" w:eastAsia="宋体" w:cs="Times New Roman"/>
                <w:vanish w:val="0"/>
                <w:spacing w:val="-4"/>
                <w:kern w:val="0"/>
                <w:sz w:val="21"/>
                <w:szCs w:val="21"/>
              </w:rPr>
              <w:t>1</w:t>
            </w:r>
            <w:r>
              <w:rPr>
                <w:rFonts w:hint="eastAsia" w:ascii="宋体" w:eastAsia="宋体" w:cs="Times New Roman"/>
                <w:vanish w:val="0"/>
                <w:spacing w:val="-4"/>
                <w:kern w:val="0"/>
                <w:sz w:val="21"/>
                <w:szCs w:val="21"/>
              </w:rPr>
              <w:t>万元以下的罚款；违反本办法第二十一条第（三）项规定的，由县级以上人民政府文化和旅游主管部门依照《条例》第四十八条予以处罚。</w:t>
            </w:r>
          </w:p>
          <w:p w14:paraId="31F5C23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0E41763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苏州市文化广电和旅游局及各市（区）文化和旅游行政部门</w:t>
            </w:r>
          </w:p>
        </w:tc>
      </w:tr>
      <w:tr w14:paraId="4D1768D9">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767"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09DF27E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185690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娱乐场所经营单位违反规定的营业时间营业</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622A04F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宋体" w:eastAsia="宋体" w:cs="Times New Roman" w:hAnsiTheme="minorHAnsi"/>
                <w:vanish w:val="0"/>
                <w:spacing w:val="-4"/>
                <w:kern w:val="0"/>
                <w:sz w:val="21"/>
                <w:szCs w:val="21"/>
                <w:lang w:val="en-US" w:eastAsia="zh-CN" w:bidi="ar-SA"/>
              </w:rPr>
            </w:pPr>
            <w:r>
              <w:rPr>
                <w:rFonts w:hint="eastAsia" w:ascii="宋体" w:eastAsia="宋体" w:cs="Times New Roman"/>
                <w:vanish w:val="0"/>
                <w:spacing w:val="-4"/>
                <w:kern w:val="0"/>
                <w:sz w:val="21"/>
                <w:szCs w:val="21"/>
              </w:rPr>
              <w:t>未接纳未成年人，未造成严重扰民等不良影响，违法行为轻微，积极配合调查及时改正，主动消除影响</w:t>
            </w:r>
            <w:r>
              <w:rPr>
                <w:rFonts w:hint="eastAsia" w:ascii="Times New Roman" w:hAnsi="Times New Roman" w:eastAsia="宋体" w:cs="Times New Roman"/>
                <w:vanish w:val="0"/>
                <w:spacing w:val="-4"/>
                <w:kern w:val="0"/>
                <w:sz w:val="21"/>
                <w:szCs w:val="21"/>
              </w:rPr>
              <w:t>，没有造成危害后果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top"/>
          </w:tcPr>
          <w:p w14:paraId="5E888E1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strike/>
                <w:dstrike w:val="0"/>
                <w:vanish w:val="0"/>
                <w:spacing w:val="-4"/>
                <w:kern w:val="0"/>
                <w:sz w:val="21"/>
                <w:szCs w:val="21"/>
                <w:shd w:val="clear" w:color="auto" w:fill="D9D9D9"/>
              </w:rPr>
            </w:pPr>
            <w:r>
              <w:rPr>
                <w:rFonts w:hint="eastAsia" w:ascii="宋体" w:eastAsia="宋体" w:cs="Times New Roman"/>
                <w:vanish w:val="0"/>
                <w:spacing w:val="-4"/>
                <w:kern w:val="0"/>
                <w:sz w:val="21"/>
                <w:szCs w:val="21"/>
              </w:rPr>
              <w:t>【行政法规】《娱乐场所管理条例》</w:t>
            </w:r>
          </w:p>
          <w:p w14:paraId="3929BB6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第二十八条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每日凌晨</w:t>
            </w:r>
            <w:r>
              <w:rPr>
                <w:rFonts w:ascii="Times New Roman" w:hAnsi="Times New Roman" w:eastAsia="宋体"/>
                <w:vanish w:val="0"/>
                <w:spacing w:val="-4"/>
                <w:kern w:val="0"/>
                <w:sz w:val="21"/>
                <w:szCs w:val="21"/>
              </w:rPr>
              <w:t>2</w:t>
            </w:r>
            <w:r>
              <w:rPr>
                <w:rFonts w:hint="eastAsia" w:ascii="宋体" w:eastAsia="宋体" w:cs="Times New Roman"/>
                <w:vanish w:val="0"/>
                <w:spacing w:val="-4"/>
                <w:kern w:val="0"/>
                <w:sz w:val="21"/>
                <w:szCs w:val="21"/>
              </w:rPr>
              <w:t>时至上午</w:t>
            </w:r>
            <w:r>
              <w:rPr>
                <w:rFonts w:ascii="Times New Roman" w:hAnsi="Times New Roman" w:eastAsia="宋体"/>
                <w:vanish w:val="0"/>
                <w:spacing w:val="-4"/>
                <w:kern w:val="0"/>
                <w:sz w:val="21"/>
                <w:szCs w:val="21"/>
              </w:rPr>
              <w:t>8</w:t>
            </w:r>
            <w:r>
              <w:rPr>
                <w:rFonts w:hint="eastAsia" w:ascii="宋体" w:eastAsia="宋体" w:cs="Times New Roman"/>
                <w:vanish w:val="0"/>
                <w:spacing w:val="-4"/>
                <w:kern w:val="0"/>
                <w:sz w:val="21"/>
                <w:szCs w:val="21"/>
              </w:rPr>
              <w:t>时，娱乐场所不得营业。</w:t>
            </w:r>
          </w:p>
          <w:p w14:paraId="0487A25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第四十九条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娱乐场所违反本条例规定，有下列情形之一的，由县级人民政府文化主管部门责令改正，给予警告；情节严重的，责令停业整顿</w:t>
            </w:r>
            <w:r>
              <w:rPr>
                <w:rFonts w:ascii="Times New Roman" w:hAnsi="Times New Roman" w:eastAsia="宋体"/>
                <w:vanish w:val="0"/>
                <w:spacing w:val="-4"/>
                <w:kern w:val="0"/>
                <w:sz w:val="21"/>
                <w:szCs w:val="21"/>
              </w:rPr>
              <w:t>1</w:t>
            </w:r>
            <w:r>
              <w:rPr>
                <w:rFonts w:hint="eastAsia" w:ascii="宋体" w:eastAsia="宋体" w:cs="Times New Roman"/>
                <w:vanish w:val="0"/>
                <w:spacing w:val="-4"/>
                <w:kern w:val="0"/>
                <w:sz w:val="21"/>
                <w:szCs w:val="21"/>
              </w:rPr>
              <w:t>个月至</w:t>
            </w:r>
            <w:r>
              <w:rPr>
                <w:rFonts w:ascii="Times New Roman" w:hAnsi="Times New Roman" w:eastAsia="宋体"/>
                <w:vanish w:val="0"/>
                <w:spacing w:val="-4"/>
                <w:kern w:val="0"/>
                <w:sz w:val="21"/>
                <w:szCs w:val="21"/>
              </w:rPr>
              <w:t>3</w:t>
            </w:r>
            <w:r>
              <w:rPr>
                <w:rFonts w:hint="eastAsia" w:ascii="宋体" w:eastAsia="宋体" w:cs="Times New Roman"/>
                <w:vanish w:val="0"/>
                <w:spacing w:val="-4"/>
                <w:kern w:val="0"/>
                <w:sz w:val="21"/>
                <w:szCs w:val="21"/>
              </w:rPr>
              <w:t>个月：</w:t>
            </w:r>
          </w:p>
          <w:p w14:paraId="157363F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（一）变更有关事项，未按照本条例规定申请重新核发娱乐经营许可证的；</w:t>
            </w:r>
          </w:p>
          <w:p w14:paraId="439FA13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（二）在本条例规定的禁止营业时间内营业的；</w:t>
            </w:r>
          </w:p>
          <w:p w14:paraId="13ACAC7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（三）从业人员在营业期间未统一着装并佩带工作标志的。</w:t>
            </w: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5185A6F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苏州市文化广电和旅游局及各市（区）文化和旅游行政部门</w:t>
            </w:r>
          </w:p>
        </w:tc>
      </w:tr>
      <w:tr w14:paraId="5BF1463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1830"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0318F13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346B10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违反《娱乐场所管理办法》第三十三条对娱乐场所未按规定悬挂娱乐经营许可证、设置未成年人禁入或限入标识并注明举报电话</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0759B7B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宋体" w:eastAsia="宋体" w:cs="Times New Roman" w:hAnsiTheme="minorHAnsi"/>
                <w:vanish w:val="0"/>
                <w:spacing w:val="-4"/>
                <w:kern w:val="0"/>
                <w:sz w:val="21"/>
                <w:szCs w:val="21"/>
                <w:lang w:val="en-US" w:eastAsia="zh-CN" w:bidi="ar-SA"/>
              </w:rPr>
            </w:pPr>
            <w:r>
              <w:rPr>
                <w:rFonts w:hint="eastAsia" w:ascii="宋体" w:eastAsia="宋体" w:cs="Times New Roman"/>
                <w:vanish w:val="0"/>
                <w:spacing w:val="-4"/>
                <w:kern w:val="0"/>
                <w:sz w:val="21"/>
                <w:szCs w:val="21"/>
              </w:rPr>
              <w:t>首次实施此类违法行为，违法行为轻微，责令限期改正后及时改正，没有造成危害后果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top"/>
          </w:tcPr>
          <w:p w14:paraId="295ACBC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【规章】《娱乐场所管理办法》</w:t>
            </w:r>
          </w:p>
          <w:p w14:paraId="1DBEE61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第三十三条 娱乐场所违反本办法第二十四条规定的，由县级以上人民政府文化和旅游主管部门责令改正，予以警告。</w:t>
            </w:r>
          </w:p>
          <w:p w14:paraId="6EEE372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第二十四条 娱乐场所应当在显著位置悬挂娱乐经营许可证、未成年人禁入或者限入标志，标志应当注明举报电话。</w:t>
            </w: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786E50C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苏州市文化广电和旅游局及各市（区）文化和旅游行政部门</w:t>
            </w:r>
          </w:p>
        </w:tc>
      </w:tr>
      <w:tr w14:paraId="7799A06F">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3323"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4237A7B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740B868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从事艺术品经营活动的经营单位未按规定向文化行政部门备案</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536CD3B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首次实施此类违法行为，违法行为轻微并及时改正，积极主动配合调查处理</w:t>
            </w:r>
            <w:r>
              <w:rPr>
                <w:rFonts w:hint="eastAsia" w:ascii="Times New Roman" w:hAnsi="Times New Roman" w:eastAsia="宋体" w:cs="Times New Roman"/>
                <w:vanish w:val="0"/>
                <w:spacing w:val="-4"/>
                <w:kern w:val="0"/>
                <w:sz w:val="21"/>
                <w:szCs w:val="21"/>
              </w:rPr>
              <w:t>，没有造成危害后果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top"/>
          </w:tcPr>
          <w:p w14:paraId="726790B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【规章】《艺术品经营管理办法》</w:t>
            </w:r>
          </w:p>
          <w:p w14:paraId="3CB9ADD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第五条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设立从事艺术品经营活动的经营单位，应当到其住所地县级以上人民政府工商行政管理部门申领营业执照，并在领取营业执照之日起</w:t>
            </w:r>
            <w:r>
              <w:rPr>
                <w:rFonts w:ascii="Times New Roman" w:hAnsi="Times New Roman" w:eastAsia="宋体"/>
                <w:vanish w:val="0"/>
                <w:spacing w:val="-4"/>
                <w:kern w:val="0"/>
                <w:sz w:val="21"/>
                <w:szCs w:val="21"/>
              </w:rPr>
              <w:t>15</w:t>
            </w:r>
            <w:r>
              <w:rPr>
                <w:rFonts w:hint="eastAsia" w:ascii="宋体" w:eastAsia="宋体" w:cs="Times New Roman"/>
                <w:vanish w:val="0"/>
                <w:spacing w:val="-4"/>
                <w:kern w:val="0"/>
                <w:sz w:val="21"/>
                <w:szCs w:val="21"/>
              </w:rPr>
              <w:t>日内，到其住所地县级以上人民政府文化行政部门备案。</w:t>
            </w:r>
          </w:p>
          <w:p w14:paraId="6F9DDCA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其他经营单位增设艺术品经营业务的，应当按前款办理备案手续。</w:t>
            </w:r>
          </w:p>
          <w:p w14:paraId="6674EA9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第十九条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违反本办法第五条规定的，由县级以上人民政府文化行政部门或者依法授权的文化市场综合执法机构责令改正，并可根据情节轻重处</w:t>
            </w:r>
            <w:r>
              <w:rPr>
                <w:rFonts w:ascii="Times New Roman" w:hAnsi="Times New Roman" w:eastAsia="宋体"/>
                <w:vanish w:val="0"/>
                <w:spacing w:val="-4"/>
                <w:kern w:val="0"/>
                <w:sz w:val="21"/>
                <w:szCs w:val="21"/>
              </w:rPr>
              <w:t>10000</w:t>
            </w:r>
            <w:r>
              <w:rPr>
                <w:rFonts w:hint="eastAsia" w:ascii="宋体" w:eastAsia="宋体" w:cs="Times New Roman"/>
                <w:vanish w:val="0"/>
                <w:spacing w:val="-4"/>
                <w:kern w:val="0"/>
                <w:sz w:val="21"/>
                <w:szCs w:val="21"/>
              </w:rPr>
              <w:t>元以下罚款。</w:t>
            </w:r>
          </w:p>
          <w:p w14:paraId="641D3AC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62EA20D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苏州市文化广电和旅游局及各市（区）文化和旅游行政部门</w:t>
            </w:r>
          </w:p>
        </w:tc>
      </w:tr>
      <w:tr w14:paraId="1AF628F2">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6909"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62DC9DC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10</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1F75038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出版单位未按规定送交出版物的样本</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38EF0B3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top"/>
          </w:tcPr>
          <w:p w14:paraId="46F05ED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【行政法规】《出版管理条例》</w:t>
            </w:r>
          </w:p>
          <w:p w14:paraId="23340E3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第六十七条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有下列行为之一的，由出版行政主管部门责令改正，给予警告；情节严重的，责令限期停业整顿或者由原发证机关吊销许可证：</w:t>
            </w:r>
          </w:p>
          <w:p w14:paraId="2FC85AC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（三）出版单位未依照本条例的规定送交出版物的样本的；</w:t>
            </w:r>
          </w:p>
          <w:p w14:paraId="72D4B08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【行政法规】《音像制品管理条例》</w:t>
            </w:r>
          </w:p>
          <w:p w14:paraId="18A5F87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第四十四条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有下列行为之一的，由出版行政主管部门责令改正，给予警告；情节严重的，并责令停业整顿或者由原发证机关吊销许可证：</w:t>
            </w:r>
          </w:p>
          <w:p w14:paraId="0C24FF4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（四）音像出版单位未依照本条例的规定送交样本的；</w:t>
            </w:r>
          </w:p>
          <w:p w14:paraId="5B95699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（五）音像复制单位未依照本条例的规定留存备查的材料的；</w:t>
            </w:r>
          </w:p>
          <w:p w14:paraId="3D36AE4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【规章】《报纸出版管理规定》</w:t>
            </w:r>
          </w:p>
          <w:p w14:paraId="5152E86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第六十二条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报纸出版单位有下列行为之一的，依照《出版管理条例》第六十七条处罚：</w:t>
            </w:r>
          </w:p>
          <w:p w14:paraId="52185C5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（三）报纸出版单位未依照本规定缴送报纸样本的。</w:t>
            </w:r>
          </w:p>
          <w:p w14:paraId="472C672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【规章】《期刊出版管理规定》</w:t>
            </w:r>
          </w:p>
          <w:p w14:paraId="7C56AD5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第六十条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期刊出版单位有下列行为之一的，依照《出版管理条例》第六十七条处罚：</w:t>
            </w:r>
          </w:p>
          <w:p w14:paraId="471465A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（四）期刊出版单位未依照本规定缴送样刊的。</w:t>
            </w:r>
          </w:p>
          <w:p w14:paraId="1B05337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【规章】《图书出版管理规定》</w:t>
            </w:r>
          </w:p>
          <w:p w14:paraId="4EFFF2A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第五十条图书出版单位有下列行为之一的，由新闻出版总署或者省、自治区、直辖市新闻出版行政部门依照《出版管理条例》第六十七条处罚：</w:t>
            </w:r>
          </w:p>
          <w:p w14:paraId="2AAD098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（四）未按规定送交样书的。</w:t>
            </w: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33B548E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苏州市文化广电和旅游局及各市（区）新闻出版行政部门</w:t>
            </w:r>
          </w:p>
        </w:tc>
      </w:tr>
      <w:tr w14:paraId="0A362726">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373"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47709B5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11</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4FC45B9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音像电子出版单位未在其出版的音像制品及其包装的明显位置标明规定内容</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72B2AD9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712F43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【行政法规】《音像制品管理条例》</w:t>
            </w:r>
          </w:p>
          <w:p w14:paraId="29FAD8E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第四十四条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有下列行为之一的，由出版行政主管部门责令改正，给予警告；情节严重的，并责令停业整顿或者由原发证机关吊销许可证：</w:t>
            </w:r>
          </w:p>
          <w:p w14:paraId="5BD62D2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（三）音像出版单位未在其出版的音像制品及其包装的明显位置标明本条例规定的内容的；</w:t>
            </w: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0B6EF8A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苏州市文化广电和旅游局及各市（区）出版行政主管部门</w:t>
            </w:r>
          </w:p>
        </w:tc>
      </w:tr>
      <w:tr w14:paraId="1370865A">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3937"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4E1D1FD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12</w:t>
            </w:r>
          </w:p>
        </w:tc>
        <w:tc>
          <w:tcPr>
            <w:tcW w:w="31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1B0EAF4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未按规定验证、核查工商行政管理部门签章的《商标注册证》复印件、注册商标图样或者注册商标使用许可合同复印件</w:t>
            </w:r>
          </w:p>
        </w:tc>
        <w:tc>
          <w:tcPr>
            <w:tcW w:w="269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1B68A35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首次实施此类违法行为，</w:t>
            </w:r>
            <w:r>
              <w:rPr>
                <w:rFonts w:hint="eastAsia" w:ascii="Times New Roman" w:hAnsi="Times New Roman" w:eastAsia="宋体" w:cs="Times New Roman"/>
                <w:vanish w:val="0"/>
                <w:spacing w:val="-4"/>
                <w:kern w:val="0"/>
                <w:sz w:val="21"/>
                <w:szCs w:val="21"/>
              </w:rPr>
              <w:t>违法行为轻微，</w:t>
            </w:r>
            <w:r>
              <w:rPr>
                <w:rFonts w:hint="eastAsia" w:ascii="宋体" w:eastAsia="宋体" w:cs="Times New Roman"/>
                <w:vanish w:val="0"/>
                <w:spacing w:val="-4"/>
                <w:kern w:val="0"/>
                <w:sz w:val="21"/>
                <w:szCs w:val="21"/>
              </w:rPr>
              <w:t>责令在规定时间内补齐相关手续</w:t>
            </w:r>
            <w:r>
              <w:rPr>
                <w:rFonts w:hint="eastAsia" w:ascii="Times New Roman" w:hAnsi="Times New Roman" w:eastAsia="宋体" w:cs="Times New Roman"/>
                <w:vanish w:val="0"/>
                <w:spacing w:val="-4"/>
                <w:kern w:val="0"/>
                <w:sz w:val="21"/>
                <w:szCs w:val="21"/>
              </w:rPr>
              <w:t>，没有造成危害后果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7C4FBCB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strike/>
                <w:dstrike w:val="0"/>
                <w:vanish w:val="0"/>
                <w:spacing w:val="-4"/>
                <w:kern w:val="0"/>
                <w:sz w:val="21"/>
                <w:szCs w:val="21"/>
                <w:shd w:val="clear" w:color="auto" w:fill="D9D9D9"/>
              </w:rPr>
            </w:pPr>
            <w:r>
              <w:rPr>
                <w:rFonts w:hint="eastAsia" w:ascii="宋体" w:eastAsia="宋体" w:cs="Times New Roman"/>
                <w:vanish w:val="0"/>
                <w:spacing w:val="-4"/>
                <w:kern w:val="0"/>
                <w:sz w:val="21"/>
                <w:szCs w:val="21"/>
              </w:rPr>
              <w:t>【行政法规】《印刷业管理条例》</w:t>
            </w:r>
          </w:p>
          <w:p w14:paraId="08796A6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spacing w:val="-4"/>
                <w:kern w:val="0"/>
              </w:rPr>
              <w:t>第四十一条</w:t>
            </w:r>
            <w:r>
              <w:rPr>
                <w:rFonts w:hint="eastAsia" w:ascii="宋体"/>
                <w:spacing w:val="-4"/>
                <w:kern w:val="0"/>
                <w:lang w:val="en-US" w:eastAsia="zh-CN"/>
              </w:rPr>
              <w:t xml:space="preserve"> </w:t>
            </w:r>
            <w:r>
              <w:rPr>
                <w:rFonts w:hint="eastAsia" w:ascii="宋体"/>
                <w:spacing w:val="-4"/>
                <w:kern w:val="0"/>
              </w:rPr>
              <w:t>从事包装装潢印刷品印刷经营活动的企业有下列行为之一的，由县级以上地方人民政府出版行政部门给予警告，没收违法所得，违法所得5万元以上的，并处违法所得5倍以上10倍以下的罚款，没有违法所得或者违法所得不足5万元的，并处25万元以下的罚款；情节严重的，视情形限制开展相关生产经营活动、责令停业整顿，或者由原发证机关降低相关资质等级直至吊销许可证；构成犯罪的，依法追究刑事责任：</w:t>
            </w:r>
            <w:r>
              <w:rPr>
                <w:rFonts w:hint="eastAsia" w:ascii="宋体"/>
                <w:spacing w:val="-4"/>
                <w:kern w:val="0"/>
                <w:szCs w:val="21"/>
              </w:rPr>
              <w:br w:type="textWrapping"/>
            </w:r>
            <w:r>
              <w:rPr>
                <w:rFonts w:hint="eastAsia" w:ascii="宋体"/>
                <w:spacing w:val="-4"/>
                <w:kern w:val="0"/>
              </w:rPr>
              <w:t>（一）接受委托印刷注册商标标识，未依照本条例的规定验证、核查工商行政管理部门签章的《商标注册证》复印件、注册商标图样或者注册商标使用许可合同复印件的；</w:t>
            </w:r>
          </w:p>
        </w:tc>
        <w:tc>
          <w:tcPr>
            <w:tcW w:w="2017" w:type="dxa"/>
            <w:tcBorders>
              <w:top w:val="single" w:color="auto" w:sz="4" w:space="0"/>
              <w:left w:val="nil"/>
              <w:bottom w:val="single" w:color="auto" w:sz="4" w:space="0"/>
              <w:right w:val="single" w:color="auto" w:sz="8" w:space="0"/>
              <w:tl2br w:val="nil"/>
              <w:tr2bl w:val="nil"/>
            </w:tcBorders>
            <w:shd w:val="clear" w:color="auto" w:fill="auto"/>
            <w:tcMar>
              <w:top w:w="15" w:type="dxa"/>
              <w:left w:w="15" w:type="dxa"/>
              <w:right w:w="15" w:type="dxa"/>
            </w:tcMar>
            <w:vAlign w:val="center"/>
          </w:tcPr>
          <w:p w14:paraId="59EBECC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w:t>
            </w:r>
            <w:r>
              <w:rPr>
                <w:rFonts w:hint="eastAsia" w:ascii="Times New Roman" w:hAnsi="Times New Roman" w:eastAsia="宋体" w:cs="Times New Roman"/>
                <w:vanish w:val="0"/>
                <w:spacing w:val="-4"/>
                <w:kern w:val="0"/>
                <w:sz w:val="21"/>
                <w:szCs w:val="21"/>
              </w:rPr>
              <w:t>出版</w:t>
            </w:r>
            <w:r>
              <w:rPr>
                <w:rFonts w:hint="eastAsia" w:ascii="宋体" w:eastAsia="宋体" w:cs="Times New Roman"/>
                <w:vanish w:val="0"/>
                <w:spacing w:val="-4"/>
                <w:kern w:val="0"/>
                <w:sz w:val="21"/>
                <w:szCs w:val="21"/>
              </w:rPr>
              <w:t>行政部门</w:t>
            </w:r>
          </w:p>
        </w:tc>
      </w:tr>
      <w:tr w14:paraId="16CE7BB1">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4925"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56E8E29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13</w:t>
            </w:r>
          </w:p>
        </w:tc>
        <w:tc>
          <w:tcPr>
            <w:tcW w:w="31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2397D7C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印刷或复制单位未按规定留存备查材料</w:t>
            </w:r>
          </w:p>
        </w:tc>
        <w:tc>
          <w:tcPr>
            <w:tcW w:w="269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0EF075E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首次实施此类违法行为，违法行为轻微，责令限期改正后及时改正的，没有造成危害后果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top"/>
          </w:tcPr>
          <w:p w14:paraId="4540AE9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【行政法规】《出版管理条例》</w:t>
            </w:r>
          </w:p>
          <w:p w14:paraId="7D01409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第六十七条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有下列行为之一的，由出版行政主管部门责令改正，给予警告；情节严重的，责令限期停业整顿或者由原发证机关吊销许可证：</w:t>
            </w:r>
          </w:p>
          <w:p w14:paraId="6D95FF9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（四）印刷或者复制单位未依照本条例的规定留存备查的材料的；</w:t>
            </w:r>
          </w:p>
          <w:p w14:paraId="191CF6D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【行政法规】《印刷业管理条例》</w:t>
            </w:r>
          </w:p>
          <w:p w14:paraId="27DA3EF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第三十九条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印刷业经营者有下列行为之一的，由县级以上地方人民政府出版行政部门、公安部门依据法定职权责令改正，给予警告；情节严重的，责令停业整顿或者由原发证机关吊销许可证：</w:t>
            </w:r>
          </w:p>
          <w:p w14:paraId="1299A90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（四）未依照本条例的规定留存备查的材料的。</w:t>
            </w:r>
          </w:p>
          <w:p w14:paraId="42F84C3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【规章】《复制管理办法》</w:t>
            </w:r>
          </w:p>
          <w:p w14:paraId="557D0BC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第四十一条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有下列行为之一的，由新闻出版行政部门责令改正，给予警告；情节严重的，并责令停业整顿或者由新闻出版总署吊销其复制经营许可证：</w:t>
            </w:r>
          </w:p>
          <w:p w14:paraId="3380943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（二）复制单位未依照本办法的规定留存备查的材料的；</w:t>
            </w:r>
          </w:p>
          <w:p w14:paraId="58B56B3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第四十二条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有下列行为之一的，由新闻出版行政部门责令停止违法行为，给予警告，并处</w:t>
            </w:r>
            <w:r>
              <w:rPr>
                <w:rFonts w:ascii="Times New Roman" w:hAnsi="Times New Roman" w:eastAsia="宋体"/>
                <w:vanish w:val="0"/>
                <w:spacing w:val="-4"/>
                <w:kern w:val="0"/>
                <w:sz w:val="21"/>
                <w:szCs w:val="21"/>
              </w:rPr>
              <w:t xml:space="preserve">3 </w:t>
            </w:r>
            <w:r>
              <w:rPr>
                <w:rFonts w:hint="eastAsia" w:ascii="宋体" w:eastAsia="宋体" w:cs="Times New Roman"/>
                <w:vanish w:val="0"/>
                <w:spacing w:val="-4"/>
                <w:kern w:val="0"/>
                <w:sz w:val="21"/>
                <w:szCs w:val="21"/>
              </w:rPr>
              <w:t>万元以下的罚款：</w:t>
            </w:r>
          </w:p>
          <w:p w14:paraId="2F45CA3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（三）光盘复制单位未按本办法第二十条规定报送样盘的；</w:t>
            </w:r>
          </w:p>
        </w:tc>
        <w:tc>
          <w:tcPr>
            <w:tcW w:w="2017" w:type="dxa"/>
            <w:tcBorders>
              <w:top w:val="single" w:color="auto" w:sz="4" w:space="0"/>
              <w:left w:val="nil"/>
              <w:bottom w:val="single" w:color="auto" w:sz="4" w:space="0"/>
              <w:right w:val="single" w:color="auto" w:sz="8" w:space="0"/>
              <w:tl2br w:val="nil"/>
              <w:tr2bl w:val="nil"/>
            </w:tcBorders>
            <w:shd w:val="clear" w:color="auto" w:fill="auto"/>
            <w:tcMar>
              <w:top w:w="15" w:type="dxa"/>
              <w:left w:w="15" w:type="dxa"/>
              <w:right w:w="15" w:type="dxa"/>
            </w:tcMar>
            <w:vAlign w:val="center"/>
          </w:tcPr>
          <w:p w14:paraId="519719F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苏州市文化广电和旅游局及各市（区）出版行政主管部门</w:t>
            </w:r>
          </w:p>
        </w:tc>
      </w:tr>
      <w:tr w14:paraId="331213C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551"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07D1B02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14</w:t>
            </w:r>
          </w:p>
        </w:tc>
        <w:tc>
          <w:tcPr>
            <w:tcW w:w="31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4B97881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有线广播电视运营服务提供者未按时将自查情况向广播影视行政部门报告</w:t>
            </w:r>
          </w:p>
        </w:tc>
        <w:tc>
          <w:tcPr>
            <w:tcW w:w="269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3CA3912D">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首次实施此类违法行为，</w:t>
            </w:r>
            <w:r>
              <w:rPr>
                <w:rFonts w:hint="eastAsia" w:ascii="Times New Roman" w:hAnsi="Times New Roman" w:eastAsia="宋体" w:cs="Times New Roman"/>
                <w:vanish w:val="0"/>
                <w:spacing w:val="-4"/>
                <w:kern w:val="0"/>
                <w:sz w:val="21"/>
                <w:szCs w:val="21"/>
              </w:rPr>
              <w:t>违法行为轻微，</w:t>
            </w:r>
            <w:r>
              <w:rPr>
                <w:rFonts w:hint="eastAsia" w:ascii="宋体" w:eastAsia="宋体" w:cs="Times New Roman"/>
                <w:vanish w:val="0"/>
                <w:spacing w:val="-4"/>
                <w:kern w:val="0"/>
                <w:sz w:val="21"/>
                <w:szCs w:val="21"/>
              </w:rPr>
              <w:t>责令限期改正后及时改正</w:t>
            </w:r>
            <w:r>
              <w:rPr>
                <w:rFonts w:hint="eastAsia" w:ascii="Times New Roman" w:hAnsi="Times New Roman" w:eastAsia="宋体" w:cs="Times New Roman"/>
                <w:vanish w:val="0"/>
                <w:spacing w:val="-4"/>
                <w:kern w:val="0"/>
                <w:sz w:val="21"/>
                <w:szCs w:val="21"/>
              </w:rPr>
              <w:t>，没有造成危害后果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top"/>
          </w:tcPr>
          <w:p w14:paraId="40493FF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【规章】《有线广播电视运营服务管理暂行规定》</w:t>
            </w:r>
          </w:p>
          <w:p w14:paraId="28B05B4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第三十条第二款</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有线广播电视运营服务提供者应当每年将自查情况通过省、自治区、直辖市人民政府广播电视行政部门向国家广播电视总局报告。</w:t>
            </w:r>
          </w:p>
          <w:p w14:paraId="7CDC97F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第四十条 有线广播电视运营服务提供者违反本规定第七条、第八条、第九条、第二十七条、第二十九条、第三十条的，由县级以上人民政府广播电视行政部门责令改正，给予警告；情节严重的，并处一万元以上三万元以下的罚款。</w:t>
            </w:r>
          </w:p>
        </w:tc>
        <w:tc>
          <w:tcPr>
            <w:tcW w:w="2017" w:type="dxa"/>
            <w:tcBorders>
              <w:top w:val="single" w:color="auto" w:sz="4" w:space="0"/>
              <w:left w:val="nil"/>
              <w:bottom w:val="single" w:color="auto" w:sz="4" w:space="0"/>
              <w:right w:val="single" w:color="auto" w:sz="8" w:space="0"/>
              <w:tl2br w:val="nil"/>
              <w:tr2bl w:val="nil"/>
            </w:tcBorders>
            <w:shd w:val="clear" w:color="auto" w:fill="auto"/>
            <w:tcMar>
              <w:top w:w="15" w:type="dxa"/>
              <w:left w:w="15" w:type="dxa"/>
              <w:right w:w="15" w:type="dxa"/>
            </w:tcMar>
            <w:vAlign w:val="center"/>
          </w:tcPr>
          <w:p w14:paraId="657EA91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苏州市文化广电和旅游局、各市（县）以及吴江区广播电视行政部门</w:t>
            </w:r>
          </w:p>
        </w:tc>
      </w:tr>
      <w:tr w14:paraId="49F5E5A6">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3175"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6ED2A89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15</w:t>
            </w:r>
          </w:p>
        </w:tc>
        <w:tc>
          <w:tcPr>
            <w:tcW w:w="31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0804B6E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广播电视视频点播开办机构变更重要事项，未在规定期限内通知原发证机关</w:t>
            </w:r>
          </w:p>
        </w:tc>
        <w:tc>
          <w:tcPr>
            <w:tcW w:w="2693"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center"/>
          </w:tcPr>
          <w:p w14:paraId="6A329EF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auto"/>
            <w:tcMar>
              <w:top w:w="15" w:type="dxa"/>
              <w:left w:w="15" w:type="dxa"/>
              <w:right w:w="15" w:type="dxa"/>
            </w:tcMar>
            <w:vAlign w:val="top"/>
          </w:tcPr>
          <w:p w14:paraId="3F5B94F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【规章】《广播电视视频点播业务管理办法》</w:t>
            </w:r>
          </w:p>
          <w:p w14:paraId="27382E7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第十八条开办机构变更许可证登记项目、股东及持股比例的，应当提前六十日报原发证机关批准。</w:t>
            </w:r>
          </w:p>
          <w:p w14:paraId="025711A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第十九条 开办机构的营业场所、法定代表人、节目总编等重要事项发生变更，应当在三十日内书面告知原发证机关。</w:t>
            </w:r>
          </w:p>
          <w:p w14:paraId="6DEF3BE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Times New Roman" w:hAnsi="Times New Roman" w:eastAsia="宋体" w:cs="Times New Roman"/>
                <w:vanish w:val="0"/>
                <w:spacing w:val="-4"/>
                <w:kern w:val="0"/>
                <w:sz w:val="21"/>
                <w:szCs w:val="21"/>
              </w:rPr>
            </w:pPr>
            <w:r>
              <w:rPr>
                <w:rFonts w:hint="eastAsia" w:ascii="Times New Roman" w:hAnsi="Times New Roman" w:eastAsia="宋体" w:cs="Times New Roman"/>
                <w:vanish w:val="0"/>
                <w:spacing w:val="-4"/>
                <w:kern w:val="0"/>
                <w:sz w:val="21"/>
                <w:szCs w:val="21"/>
              </w:rPr>
              <w:t>第三十条　违反本办法规定，有下列行为之一的，由县级以上人民政府广播电视行政部门责令停止违法活动、给予警告、限期整改，可以并处三万元以下的罚款：</w:t>
            </w:r>
          </w:p>
          <w:p w14:paraId="4FAEAE5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　　（五）违反本办法第十八条，第十九条规定，有重要事项发生变更未在规定期限内通知原发证机关的；</w:t>
            </w:r>
          </w:p>
        </w:tc>
        <w:tc>
          <w:tcPr>
            <w:tcW w:w="2017" w:type="dxa"/>
            <w:tcBorders>
              <w:top w:val="single" w:color="auto" w:sz="4" w:space="0"/>
              <w:left w:val="nil"/>
              <w:bottom w:val="single" w:color="auto" w:sz="4" w:space="0"/>
              <w:right w:val="single" w:color="auto" w:sz="8" w:space="0"/>
              <w:tl2br w:val="nil"/>
              <w:tr2bl w:val="nil"/>
            </w:tcBorders>
            <w:shd w:val="clear" w:color="auto" w:fill="auto"/>
            <w:tcMar>
              <w:top w:w="15" w:type="dxa"/>
              <w:left w:w="15" w:type="dxa"/>
              <w:right w:w="15" w:type="dxa"/>
            </w:tcMar>
            <w:vAlign w:val="center"/>
          </w:tcPr>
          <w:p w14:paraId="27B5E08C">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苏州市文化广电和旅游局、各市（县）以及吴江区广播电视行政部门</w:t>
            </w:r>
          </w:p>
        </w:tc>
      </w:tr>
      <w:tr w14:paraId="18F43DE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799"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0AA2A19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16</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5F07D6E6">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未在播出界面显著位置标注播出标识、名称、《信息网络传播视听节目许可证》和备案编号</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463D856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首次实施此类违法行为，</w:t>
            </w:r>
            <w:r>
              <w:rPr>
                <w:rFonts w:hint="eastAsia" w:ascii="Times New Roman" w:hAnsi="Times New Roman" w:eastAsia="宋体" w:cs="Times New Roman"/>
                <w:vanish w:val="0"/>
                <w:spacing w:val="-4"/>
                <w:kern w:val="0"/>
                <w:sz w:val="21"/>
                <w:szCs w:val="21"/>
              </w:rPr>
              <w:t>违法行为轻微，</w:t>
            </w:r>
            <w:r>
              <w:rPr>
                <w:rFonts w:hint="eastAsia" w:ascii="宋体" w:eastAsia="宋体" w:cs="Times New Roman"/>
                <w:vanish w:val="0"/>
                <w:spacing w:val="-4"/>
                <w:kern w:val="0"/>
                <w:sz w:val="21"/>
                <w:szCs w:val="21"/>
              </w:rPr>
              <w:t>责令限期改正后及时改正</w:t>
            </w:r>
            <w:r>
              <w:rPr>
                <w:rFonts w:hint="eastAsia" w:ascii="Times New Roman" w:hAnsi="Times New Roman" w:eastAsia="宋体" w:cs="Times New Roman"/>
                <w:vanish w:val="0"/>
                <w:spacing w:val="-4"/>
                <w:kern w:val="0"/>
                <w:sz w:val="21"/>
                <w:szCs w:val="21"/>
              </w:rPr>
              <w:t>，没有造成危害后果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top"/>
          </w:tcPr>
          <w:p w14:paraId="5B9C3AC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hint="eastAsia" w:ascii="宋体" w:eastAsia="宋体" w:cs="Times New Roman"/>
                <w:vanish w:val="0"/>
                <w:spacing w:val="-4"/>
                <w:kern w:val="0"/>
                <w:sz w:val="21"/>
                <w:szCs w:val="21"/>
              </w:rPr>
            </w:pPr>
            <w:r>
              <w:rPr>
                <w:rFonts w:hint="eastAsia" w:ascii="宋体" w:eastAsia="宋体" w:cs="Times New Roman"/>
                <w:vanish w:val="0"/>
                <w:spacing w:val="-4"/>
                <w:kern w:val="0"/>
                <w:sz w:val="21"/>
                <w:szCs w:val="21"/>
              </w:rPr>
              <w:t>【规章】《互联网视听节目服务管理规定》</w:t>
            </w:r>
          </w:p>
          <w:p w14:paraId="79A957D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第二十三条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违反本规定有下列行为之一的，由县级以上广播电影电视主管部门予以警告、责令改正，可并处</w:t>
            </w:r>
            <w:r>
              <w:rPr>
                <w:rFonts w:ascii="Times New Roman" w:hAnsi="Times New Roman" w:eastAsia="宋体"/>
                <w:vanish w:val="0"/>
                <w:spacing w:val="-4"/>
                <w:kern w:val="0"/>
                <w:sz w:val="21"/>
                <w:szCs w:val="21"/>
              </w:rPr>
              <w:t xml:space="preserve">3 </w:t>
            </w:r>
            <w:r>
              <w:rPr>
                <w:rFonts w:hint="eastAsia" w:ascii="宋体" w:eastAsia="宋体" w:cs="Times New Roman"/>
                <w:vanish w:val="0"/>
                <w:spacing w:val="-4"/>
                <w:kern w:val="0"/>
                <w:sz w:val="21"/>
                <w:szCs w:val="21"/>
              </w:rPr>
              <w:t>万元以下罚款；同时，可对其主要出资者和经营者予以警告，可并处</w:t>
            </w:r>
            <w:r>
              <w:rPr>
                <w:rFonts w:ascii="Times New Roman" w:hAnsi="Times New Roman" w:eastAsia="宋体"/>
                <w:vanish w:val="0"/>
                <w:spacing w:val="-4"/>
                <w:kern w:val="0"/>
                <w:sz w:val="21"/>
                <w:szCs w:val="21"/>
              </w:rPr>
              <w:t xml:space="preserve">2 </w:t>
            </w:r>
            <w:r>
              <w:rPr>
                <w:rFonts w:hint="eastAsia" w:ascii="宋体" w:eastAsia="宋体" w:cs="Times New Roman"/>
                <w:vanish w:val="0"/>
                <w:spacing w:val="-4"/>
                <w:kern w:val="0"/>
                <w:sz w:val="21"/>
                <w:szCs w:val="21"/>
              </w:rPr>
              <w:t>万元以下罚款：</w:t>
            </w:r>
          </w:p>
          <w:p w14:paraId="4229703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宋体" w:eastAsia="宋体" w:cs="Times New Roman"/>
                <w:vanish w:val="0"/>
                <w:spacing w:val="-4"/>
                <w:kern w:val="0"/>
                <w:sz w:val="21"/>
                <w:szCs w:val="21"/>
              </w:rPr>
              <w:t>（四）未在播出界面显著位置标注播出标识、名称、《许可证》和备案编号的；</w:t>
            </w:r>
          </w:p>
          <w:p w14:paraId="34A316D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第二十七条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互联网视听节目服务单位出现重大违法违规行为的，除按有关规定予以处罚外，其主要出资者和经营者自互联网视听节目服务单位受到处罚之日起</w:t>
            </w:r>
            <w:r>
              <w:rPr>
                <w:rFonts w:ascii="Times New Roman" w:hAnsi="Times New Roman" w:eastAsia="宋体"/>
                <w:vanish w:val="0"/>
                <w:spacing w:val="-4"/>
                <w:kern w:val="0"/>
                <w:sz w:val="21"/>
                <w:szCs w:val="21"/>
              </w:rPr>
              <w:t>5</w:t>
            </w:r>
            <w:r>
              <w:rPr>
                <w:rFonts w:hint="eastAsia" w:ascii="宋体" w:eastAsia="宋体" w:cs="Times New Roman"/>
                <w:vanish w:val="0"/>
                <w:spacing w:val="-4"/>
                <w:kern w:val="0"/>
                <w:sz w:val="21"/>
                <w:szCs w:val="21"/>
              </w:rPr>
              <w:t>年内不得投资和从事互联网视听节目服务。</w:t>
            </w: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432C60EB">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苏州市文化广电和旅游局、各市（县）以及吴江区广播电视行政部门</w:t>
            </w:r>
          </w:p>
        </w:tc>
      </w:tr>
      <w:tr w14:paraId="484B155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516"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4DD2AE4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17</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67F51B0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电影院在向观众明示的电影开始放映时间之后至电影放映结束前放映广告</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600D535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首次实施此类违法行为，违法行为轻微，责令限期改正后及时改正，没有造成危害后果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top"/>
          </w:tcPr>
          <w:p w14:paraId="0B71D5B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【法律】《中华人民共和国电影产业促进法》</w:t>
            </w:r>
          </w:p>
          <w:p w14:paraId="13C894C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第五十一条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电影发行企业、电影院等有制造虚假交易、虚报瞒报销售收入等行为，扰乱电影市场秩序的，由县级以上人民政府电影主管部门责令改正，没收违法所得，处五万元以上五十万元以下的罚款；违法所得五十万元以上的，处违法所得一倍以上五倍以下的罚款。情节严重的，责令停业整顿；情节特别严重的，由原发证机关吊销许可证。</w:t>
            </w:r>
          </w:p>
          <w:p w14:paraId="629E777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电影院在向观众明示的电影开始放映时间之后至电影放映结束前放映广告的，由县级人民政府电影主管部门给予警告，责令改正；情节严重的，处一万元以上五万元以下的罚款。</w:t>
            </w:r>
          </w:p>
          <w:p w14:paraId="29D00C7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3FA0DEA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w:t>
            </w:r>
            <w:r>
              <w:rPr>
                <w:rFonts w:hint="eastAsia" w:ascii="Times New Roman" w:hAnsi="Times New Roman" w:eastAsia="宋体" w:cs="Times New Roman"/>
                <w:vanish w:val="0"/>
                <w:spacing w:val="-4"/>
                <w:kern w:val="0"/>
                <w:sz w:val="21"/>
                <w:szCs w:val="21"/>
              </w:rPr>
              <w:t>电影主管</w:t>
            </w:r>
            <w:r>
              <w:rPr>
                <w:rFonts w:hint="eastAsia" w:ascii="宋体" w:eastAsia="宋体" w:cs="Times New Roman"/>
                <w:vanish w:val="0"/>
                <w:spacing w:val="-4"/>
                <w:kern w:val="0"/>
                <w:sz w:val="21"/>
                <w:szCs w:val="21"/>
              </w:rPr>
              <w:t>部门</w:t>
            </w:r>
          </w:p>
        </w:tc>
      </w:tr>
      <w:tr w14:paraId="4B0A3C4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1730"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53EB9D4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18</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408FE7E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旅行社及其分社、服务网点未悬挂旅行社业务经营许可证、备案登记证明</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298F232F">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首次实施此类违法行为，违法行为轻微并及时改正，没有造成危害后果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top"/>
          </w:tcPr>
          <w:p w14:paraId="044D2AC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【规章】《旅行社条例实施细则》</w:t>
            </w:r>
          </w:p>
          <w:p w14:paraId="4647CBD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第十二条第三款</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外商投资旅行社的，适用《条例》第三章的规定。未经批准，旅行社不得引进外商投资。</w:t>
            </w:r>
          </w:p>
          <w:p w14:paraId="17692392">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第二十三条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设立社向服务网点所在地工商行政管理部门办理服务网点设立登记后，应当在</w:t>
            </w:r>
            <w:r>
              <w:rPr>
                <w:rFonts w:ascii="Times New Roman" w:hAnsi="Times New Roman" w:eastAsia="宋体"/>
                <w:vanish w:val="0"/>
                <w:spacing w:val="-4"/>
                <w:kern w:val="0"/>
                <w:sz w:val="21"/>
                <w:szCs w:val="21"/>
              </w:rPr>
              <w:t>3</w:t>
            </w:r>
            <w:r>
              <w:rPr>
                <w:rFonts w:hint="eastAsia" w:ascii="宋体" w:eastAsia="宋体" w:cs="Times New Roman"/>
                <w:vanish w:val="0"/>
                <w:spacing w:val="-4"/>
                <w:kern w:val="0"/>
                <w:sz w:val="21"/>
                <w:szCs w:val="21"/>
              </w:rPr>
              <w:t>个工作日内，持下列文件向服务网点所在地与工商登记同级的旅游行政管理部门备案：</w:t>
            </w:r>
          </w:p>
          <w:p w14:paraId="491FC54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（一）服务网点的《营业执照》；</w:t>
            </w:r>
          </w:p>
          <w:p w14:paraId="151124B0">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（二）服务网点经理的履历表和身份证明。</w:t>
            </w:r>
          </w:p>
          <w:p w14:paraId="55EBF1D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没有同级的旅游行政管理部门的，向上一级旅游行政管理部门备案。</w:t>
            </w:r>
          </w:p>
          <w:p w14:paraId="0CAD5D7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第二十六条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旅行社及其分社、服务网点，应当将《旅行社业务经营许可证》、《旅行社分社备案登记证明》或者《旅行社服务网点备案登记证明》，与营业执照一起，悬挂在经营场所的显要位置。</w:t>
            </w:r>
          </w:p>
          <w:p w14:paraId="5741A1E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textAlignment w:val="center"/>
              <w:rPr>
                <w:rFonts w:ascii="Times New Roman" w:hAnsi="Times New Roman" w:eastAsia="宋体"/>
                <w:vanish w:val="0"/>
                <w:spacing w:val="-4"/>
                <w:kern w:val="0"/>
                <w:sz w:val="21"/>
                <w:szCs w:val="21"/>
              </w:rPr>
            </w:pPr>
            <w:r>
              <w:rPr>
                <w:rFonts w:hint="eastAsia" w:ascii="Times New Roman" w:hAnsi="Times New Roman" w:eastAsia="宋体" w:cs="Times New Roman"/>
                <w:vanish w:val="0"/>
                <w:spacing w:val="-4"/>
                <w:kern w:val="0"/>
                <w:sz w:val="21"/>
                <w:szCs w:val="21"/>
              </w:rPr>
              <w:t>第五十七条</w:t>
            </w:r>
            <w:r>
              <w:rPr>
                <w:rFonts w:ascii="Times New Roman" w:hAnsi="Times New Roman" w:eastAsia="宋体" w:cs="Times New Roman"/>
                <w:vanish w:val="0"/>
                <w:spacing w:val="-4"/>
                <w:kern w:val="0"/>
                <w:sz w:val="21"/>
                <w:szCs w:val="21"/>
              </w:rPr>
              <w:t xml:space="preserve"> </w:t>
            </w:r>
            <w:r>
              <w:rPr>
                <w:rFonts w:hint="eastAsia" w:ascii="宋体" w:eastAsia="宋体" w:cs="Times New Roman"/>
                <w:vanish w:val="0"/>
                <w:spacing w:val="-4"/>
                <w:kern w:val="0"/>
                <w:sz w:val="21"/>
                <w:szCs w:val="21"/>
              </w:rPr>
              <w:t>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w:t>
            </w:r>
            <w:r>
              <w:rPr>
                <w:rFonts w:ascii="Times New Roman" w:hAnsi="Times New Roman" w:eastAsia="宋体"/>
                <w:vanish w:val="0"/>
                <w:spacing w:val="-4"/>
                <w:kern w:val="0"/>
                <w:sz w:val="21"/>
                <w:szCs w:val="21"/>
              </w:rPr>
              <w:t>1</w:t>
            </w:r>
            <w:r>
              <w:rPr>
                <w:rFonts w:hint="eastAsia" w:ascii="宋体" w:eastAsia="宋体" w:cs="Times New Roman"/>
                <w:vanish w:val="0"/>
                <w:spacing w:val="-4"/>
                <w:kern w:val="0"/>
                <w:sz w:val="21"/>
                <w:szCs w:val="21"/>
              </w:rPr>
              <w:t>万元以下的罚款。</w:t>
            </w:r>
          </w:p>
          <w:p w14:paraId="07EE4F09">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5C80BA8E">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苏州市文化广电和旅游局及各市（区）文化和旅游行政部门</w:t>
            </w:r>
          </w:p>
        </w:tc>
      </w:tr>
      <w:tr w14:paraId="6C7C30E8">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1730"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2C41522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19</w:t>
            </w:r>
          </w:p>
        </w:tc>
        <w:tc>
          <w:tcPr>
            <w:tcW w:w="31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03591F35">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宋体" w:eastAsia="宋体" w:cs="Times New Roman"/>
                <w:vanish w:val="0"/>
                <w:spacing w:val="-4"/>
                <w:kern w:val="0"/>
                <w:sz w:val="21"/>
                <w:szCs w:val="21"/>
              </w:rPr>
              <w:t>旅行社未将安全信息卡交由旅游者或者未告知旅游者相关信息</w:t>
            </w:r>
          </w:p>
        </w:tc>
        <w:tc>
          <w:tcPr>
            <w:tcW w:w="2693"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center"/>
          </w:tcPr>
          <w:p w14:paraId="0DDCDDA7">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r>
              <w:rPr>
                <w:rFonts w:hint="eastAsia" w:ascii="Times New Roman" w:hAnsi="Times New Roman" w:eastAsia="宋体" w:cs="Times New Roman"/>
                <w:vanish w:val="0"/>
                <w:spacing w:val="-4"/>
                <w:kern w:val="0"/>
                <w:sz w:val="21"/>
                <w:szCs w:val="21"/>
              </w:rPr>
              <w:t>首次</w:t>
            </w:r>
            <w:r>
              <w:rPr>
                <w:rFonts w:hint="eastAsia" w:ascii="Times New Roman" w:hAnsi="Times New Roman" w:eastAsia="宋体" w:cs="Times New Roman"/>
                <w:vanish w:val="0"/>
                <w:spacing w:val="-4"/>
                <w:kern w:val="2"/>
                <w:sz w:val="21"/>
                <w:szCs w:val="21"/>
              </w:rPr>
              <w:t>被发现，且能当场将安全信息卡交由旅游者并告知旅游者相关信息，</w:t>
            </w:r>
            <w:r>
              <w:rPr>
                <w:rFonts w:hint="eastAsia" w:ascii="Times New Roman" w:hAnsi="Times New Roman" w:eastAsia="宋体" w:cs="Times New Roman"/>
                <w:vanish w:val="0"/>
                <w:spacing w:val="-4"/>
                <w:kern w:val="0"/>
                <w:sz w:val="21"/>
                <w:szCs w:val="21"/>
              </w:rPr>
              <w:t>违法行为轻微并及时改正，没有造成危害后果</w:t>
            </w:r>
          </w:p>
        </w:tc>
        <w:tc>
          <w:tcPr>
            <w:tcW w:w="5812" w:type="dxa"/>
            <w:tcBorders>
              <w:top w:val="single" w:color="auto" w:sz="4" w:space="0"/>
              <w:left w:val="nil"/>
              <w:bottom w:val="single" w:color="auto" w:sz="4" w:space="0"/>
              <w:right w:val="single" w:color="auto" w:sz="4" w:space="0"/>
              <w:tl2br w:val="nil"/>
              <w:tr2bl w:val="nil"/>
            </w:tcBorders>
            <w:shd w:val="clear" w:color="auto" w:fill="FFFFFF"/>
            <w:tcMar>
              <w:top w:w="15" w:type="dxa"/>
              <w:left w:w="15" w:type="dxa"/>
              <w:right w:w="15" w:type="dxa"/>
            </w:tcMar>
            <w:vAlign w:val="top"/>
          </w:tcPr>
          <w:p w14:paraId="3F5B7EC8">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【部门规章】《旅游安全管理办法》</w:t>
            </w:r>
          </w:p>
          <w:p w14:paraId="4A49E214">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第十二条 旅行社组织出境旅游，应当制作安全信息卡。</w:t>
            </w:r>
          </w:p>
          <w:p w14:paraId="1A481E2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安全信息卡应当包括旅游者姓名、出境证件号码和国籍，以及紧急情况下的联系人、联系方式等信息，使用中文和目的地官方语言（或者英文）填写。</w:t>
            </w:r>
          </w:p>
          <w:p w14:paraId="188EA7B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旅行社应当将安全信息卡交由旅游者随身携带，并告知其自行填写血型、过敏药物和重大疾病等信息。</w:t>
            </w:r>
          </w:p>
          <w:p w14:paraId="306922B3">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contextualSpacing w:val="0"/>
              <w:rPr>
                <w:rFonts w:ascii="Times New Roman" w:hAnsi="Times New Roman" w:eastAsia="宋体"/>
                <w:vanish w:val="0"/>
                <w:spacing w:val="-4"/>
                <w:kern w:val="2"/>
                <w:sz w:val="21"/>
                <w:szCs w:val="21"/>
              </w:rPr>
            </w:pPr>
            <w:r>
              <w:rPr>
                <w:rFonts w:hint="eastAsia" w:ascii="Times New Roman" w:hAnsi="Times New Roman" w:eastAsia="宋体" w:cs="Times New Roman"/>
                <w:vanish w:val="0"/>
                <w:spacing w:val="-4"/>
                <w:kern w:val="2"/>
                <w:sz w:val="21"/>
                <w:szCs w:val="21"/>
              </w:rPr>
              <w:t>第三十五条</w:t>
            </w:r>
            <w:r>
              <w:rPr>
                <w:rFonts w:ascii="Times New Roman" w:hAnsi="Times New Roman" w:eastAsia="宋体" w:cs="Times New Roman"/>
                <w:vanish w:val="0"/>
                <w:spacing w:val="-4"/>
                <w:kern w:val="2"/>
                <w:sz w:val="21"/>
                <w:szCs w:val="21"/>
              </w:rPr>
              <w:t xml:space="preserve"> </w:t>
            </w:r>
            <w:r>
              <w:rPr>
                <w:rFonts w:hint="eastAsia" w:ascii="宋体" w:eastAsia="宋体" w:cs="Times New Roman"/>
                <w:vanish w:val="0"/>
                <w:spacing w:val="-4"/>
                <w:kern w:val="2"/>
                <w:sz w:val="21"/>
                <w:szCs w:val="21"/>
              </w:rPr>
              <w:t>旅行社违反本办法第十二条的规定，不按要求制作安全信息卡，未将安全信息卡交由旅游者，或者未告知旅游者相关信息的，由旅游主管部门给予警告，可并处</w:t>
            </w:r>
            <w:r>
              <w:rPr>
                <w:rFonts w:ascii="Times New Roman" w:hAnsi="Times New Roman" w:eastAsia="宋体"/>
                <w:vanish w:val="0"/>
                <w:spacing w:val="-4"/>
                <w:kern w:val="2"/>
                <w:sz w:val="21"/>
                <w:szCs w:val="21"/>
              </w:rPr>
              <w:t>2000</w:t>
            </w:r>
            <w:r>
              <w:rPr>
                <w:rFonts w:hint="eastAsia" w:ascii="宋体" w:eastAsia="宋体" w:cs="Times New Roman"/>
                <w:vanish w:val="0"/>
                <w:spacing w:val="-4"/>
                <w:kern w:val="2"/>
                <w:sz w:val="21"/>
                <w:szCs w:val="21"/>
              </w:rPr>
              <w:t>元以下罚款；情节严重的，处</w:t>
            </w:r>
            <w:r>
              <w:rPr>
                <w:rFonts w:ascii="Times New Roman" w:hAnsi="Times New Roman" w:eastAsia="宋体"/>
                <w:vanish w:val="0"/>
                <w:spacing w:val="-4"/>
                <w:kern w:val="2"/>
                <w:sz w:val="21"/>
                <w:szCs w:val="21"/>
              </w:rPr>
              <w:t>2000</w:t>
            </w:r>
            <w:r>
              <w:rPr>
                <w:rFonts w:hint="eastAsia" w:ascii="宋体" w:eastAsia="宋体" w:cs="Times New Roman"/>
                <w:vanish w:val="0"/>
                <w:spacing w:val="-4"/>
                <w:kern w:val="2"/>
                <w:sz w:val="21"/>
                <w:szCs w:val="21"/>
              </w:rPr>
              <w:t>元以上</w:t>
            </w:r>
            <w:r>
              <w:rPr>
                <w:rFonts w:ascii="Times New Roman" w:hAnsi="Times New Roman" w:eastAsia="宋体"/>
                <w:vanish w:val="0"/>
                <w:spacing w:val="-4"/>
                <w:kern w:val="2"/>
                <w:sz w:val="21"/>
                <w:szCs w:val="21"/>
              </w:rPr>
              <w:t>10000</w:t>
            </w:r>
            <w:r>
              <w:rPr>
                <w:rFonts w:hint="eastAsia" w:ascii="宋体" w:eastAsia="宋体" w:cs="Times New Roman"/>
                <w:vanish w:val="0"/>
                <w:spacing w:val="-4"/>
                <w:kern w:val="2"/>
                <w:sz w:val="21"/>
                <w:szCs w:val="21"/>
              </w:rPr>
              <w:t>元以下罚款。</w:t>
            </w:r>
          </w:p>
          <w:p w14:paraId="733DC87A">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Times New Roman" w:hAnsi="Times New Roman" w:eastAsia="宋体" w:cstheme="minorBidi"/>
                <w:vanish w:val="0"/>
                <w:spacing w:val="-4"/>
                <w:kern w:val="0"/>
                <w:sz w:val="21"/>
                <w:szCs w:val="21"/>
                <w:lang w:val="en-US" w:eastAsia="zh-CN" w:bidi="ar-SA"/>
              </w:rPr>
            </w:pPr>
          </w:p>
        </w:tc>
        <w:tc>
          <w:tcPr>
            <w:tcW w:w="2017" w:type="dxa"/>
            <w:tcBorders>
              <w:top w:val="single" w:color="auto" w:sz="4" w:space="0"/>
              <w:left w:val="nil"/>
              <w:bottom w:val="single" w:color="auto" w:sz="4" w:space="0"/>
              <w:right w:val="single" w:color="auto" w:sz="8" w:space="0"/>
              <w:tl2br w:val="nil"/>
              <w:tr2bl w:val="nil"/>
            </w:tcBorders>
            <w:shd w:val="clear" w:color="auto" w:fill="FFFFFF"/>
            <w:tcMar>
              <w:top w:w="15" w:type="dxa"/>
              <w:left w:w="15" w:type="dxa"/>
              <w:right w:w="15" w:type="dxa"/>
            </w:tcMar>
            <w:vAlign w:val="center"/>
          </w:tcPr>
          <w:p w14:paraId="372CC771">
            <w:pPr>
              <w:keepLines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adjustRightInd w:val="0"/>
              <w:snapToGrid w:val="0"/>
              <w:spacing w:after="0" w:afterAutospacing="0" w:line="0" w:lineRule="atLeast"/>
              <w:ind w:left="0" w:leftChars="0"/>
              <w:contextualSpacing w:val="0"/>
              <w:textAlignment w:val="center"/>
              <w:rPr>
                <w:rFonts w:hint="eastAsia" w:ascii="宋体" w:eastAsia="宋体" w:cs="Times New Roman" w:hAnsiTheme="minorHAnsi"/>
                <w:vanish w:val="0"/>
                <w:spacing w:val="-4"/>
                <w:kern w:val="0"/>
                <w:sz w:val="21"/>
                <w:szCs w:val="21"/>
                <w:lang w:val="en-US" w:eastAsia="zh-CN" w:bidi="ar-SA"/>
              </w:rPr>
            </w:pPr>
            <w:r>
              <w:rPr>
                <w:rFonts w:hint="eastAsia" w:ascii="宋体" w:eastAsia="宋体" w:cs="Times New Roman"/>
                <w:vanish w:val="0"/>
                <w:spacing w:val="-4"/>
                <w:kern w:val="2"/>
                <w:sz w:val="21"/>
                <w:szCs w:val="21"/>
              </w:rPr>
              <w:t>苏州市文化广电和旅游局及各市（区）文化和旅游行政部门</w:t>
            </w:r>
          </w:p>
        </w:tc>
      </w:tr>
      <w:tr w14:paraId="57666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82" w:hRule="atLeast"/>
        </w:trPr>
        <w:tc>
          <w:tcPr>
            <w:tcW w:w="432" w:type="dxa"/>
            <w:shd w:val="clear" w:color="auto" w:fill="auto"/>
            <w:noWrap w:val="0"/>
            <w:vAlign w:val="center"/>
          </w:tcPr>
          <w:p w14:paraId="5269145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p w14:paraId="35C34E93">
            <w:pPr>
              <w:widowControl/>
              <w:spacing w:line="320" w:lineRule="exact"/>
              <w:ind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shd w:val="clear" w:color="auto" w:fill="auto"/>
            <w:noWrap w:val="0"/>
            <w:vAlign w:val="center"/>
          </w:tcPr>
          <w:p w14:paraId="022E97A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用人单位工作场所职业病危害因素检测、评价结果没有或未按照规定存档、上报、公布的</w:t>
            </w:r>
          </w:p>
        </w:tc>
        <w:tc>
          <w:tcPr>
            <w:tcW w:w="2693" w:type="dxa"/>
            <w:shd w:val="clear" w:color="auto" w:fill="auto"/>
            <w:noWrap w:val="0"/>
            <w:vAlign w:val="center"/>
          </w:tcPr>
          <w:p w14:paraId="10122F6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shd w:val="clear" w:color="auto" w:fill="auto"/>
            <w:noWrap w:val="0"/>
            <w:vAlign w:val="center"/>
          </w:tcPr>
          <w:p w14:paraId="161AC8D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《中华人民共和国职业病防治法》第七十条第（一）项  违反本法规定，有下列行为之一的，由卫生行政部门给予警告，责令限期改正；逾期不改正的，处十万元以下的罚款：（一）工作场所职业病危害因素检测、评价结果没有存档、上报、公布的。</w:t>
            </w:r>
          </w:p>
          <w:p w14:paraId="52EB9F1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《工作场所职业卫生管理规定》第四十八条第（八）项  用人单位有下列情形之一的，责令限期改正，给予警告；逾期未改正的，处十万元以下的罚款：（八）工作场所职业病危害因素检测、评价结果未按照规定存档、上报和公布的。</w:t>
            </w:r>
          </w:p>
        </w:tc>
        <w:tc>
          <w:tcPr>
            <w:tcW w:w="2017" w:type="dxa"/>
            <w:shd w:val="clear" w:color="auto" w:fill="auto"/>
            <w:noWrap w:val="0"/>
            <w:vAlign w:val="center"/>
          </w:tcPr>
          <w:p w14:paraId="11EB88D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0F31ED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38" w:hRule="atLeast"/>
        </w:trPr>
        <w:tc>
          <w:tcPr>
            <w:tcW w:w="432" w:type="dxa"/>
            <w:noWrap w:val="0"/>
            <w:vAlign w:val="center"/>
          </w:tcPr>
          <w:p w14:paraId="297CE0D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6C84FE2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用人单位未按照规定制定职业病防治计划和实施方案的</w:t>
            </w:r>
          </w:p>
        </w:tc>
        <w:tc>
          <w:tcPr>
            <w:tcW w:w="2693" w:type="dxa"/>
            <w:noWrap w:val="0"/>
            <w:vAlign w:val="center"/>
          </w:tcPr>
          <w:p w14:paraId="4FE6959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0897E19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《中华人民共和国职业病防治法》第七十条第（二）项  违反本法规定，有下列行为之一的，由卫生行政部门给予警告，责令限期改正；逾期不改正的，处十万元以下的罚款：（二）未采取本法第二十条规定的职业病防治管理措施的。</w:t>
            </w:r>
          </w:p>
          <w:p w14:paraId="750C24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《工作场所职业卫生管理规定》第四十八条第（一）项  用人单位有下列情形之一的，责令限期改正，给予警告；逾期未改正的，处十万元以下的罚款：（一）未按照规定制定职业病防治计划和实施方案的。</w:t>
            </w:r>
          </w:p>
        </w:tc>
        <w:tc>
          <w:tcPr>
            <w:tcW w:w="2017" w:type="dxa"/>
            <w:noWrap w:val="0"/>
            <w:vAlign w:val="center"/>
          </w:tcPr>
          <w:p w14:paraId="338634B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3BF5E4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trPr>
        <w:tc>
          <w:tcPr>
            <w:tcW w:w="432" w:type="dxa"/>
            <w:noWrap w:val="0"/>
            <w:vAlign w:val="center"/>
          </w:tcPr>
          <w:p w14:paraId="1037726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49F33CE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用人单位未按照规定设置或者指定职业卫生管理机构或者组织，或者未配备专职或者兼职的职业卫生管理人员的</w:t>
            </w:r>
          </w:p>
        </w:tc>
        <w:tc>
          <w:tcPr>
            <w:tcW w:w="2693" w:type="dxa"/>
            <w:noWrap w:val="0"/>
            <w:vAlign w:val="center"/>
          </w:tcPr>
          <w:p w14:paraId="6C29EDA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0EEB5FC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《中华人民共和国职业病防治法》第七十条第（二）项  违反本法规定，有下列行为之一的，由卫生行政部门给予警告，责令限期改正；逾期不改正的，处十万元以下的罚款：（二）未采取本法第二十条规定的职业病防治管理措施的。</w:t>
            </w:r>
          </w:p>
          <w:p w14:paraId="3F98034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《工作场所职业卫生管理规定》第四十八条第（二）项  用人单位有下情形之一的，责令限期改正，给予警告；逾期未改正的，处十万元以下的罚款：（二）未按照规定设置或者指定职业卫生管理机构或者组织，或者未配备专职或者兼职的职业卫生管理人员的。</w:t>
            </w:r>
          </w:p>
        </w:tc>
        <w:tc>
          <w:tcPr>
            <w:tcW w:w="2017" w:type="dxa"/>
            <w:noWrap w:val="0"/>
            <w:vAlign w:val="center"/>
          </w:tcPr>
          <w:p w14:paraId="132B09C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719322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79" w:hRule="atLeast"/>
        </w:trPr>
        <w:tc>
          <w:tcPr>
            <w:tcW w:w="432" w:type="dxa"/>
            <w:noWrap w:val="0"/>
            <w:vAlign w:val="center"/>
          </w:tcPr>
          <w:p w14:paraId="171D3EB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2B545B4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用人单位未按照规定建立、健全职业卫生管理制度和操作规程的</w:t>
            </w:r>
          </w:p>
        </w:tc>
        <w:tc>
          <w:tcPr>
            <w:tcW w:w="2693" w:type="dxa"/>
            <w:noWrap w:val="0"/>
            <w:vAlign w:val="center"/>
          </w:tcPr>
          <w:p w14:paraId="5E89DE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59F466D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《中华人民共和国职业病防治法》第七十条第（二）项  违反本法规定，有下列行为之一的，由卫生行政部门给予警告，责令限期改正；逾期不改正的，处十万元以下的罚款：（二）未采取本法第二十条规定的职业病防治管理措施的。</w:t>
            </w:r>
          </w:p>
          <w:p w14:paraId="7635AB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《工作场所职业卫生管理规定》第四十八条第（三）项  用人单位有下列情形之一的，责令限期改正，给予警告；逾期未改正的，处十万元以下的罚款：（三）未按照规定建立、健全职业卫生管理制度和操作规程的。</w:t>
            </w:r>
          </w:p>
        </w:tc>
        <w:tc>
          <w:tcPr>
            <w:tcW w:w="2017" w:type="dxa"/>
            <w:noWrap w:val="0"/>
            <w:vAlign w:val="center"/>
          </w:tcPr>
          <w:p w14:paraId="7D6CC5B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259807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18" w:hRule="atLeast"/>
        </w:trPr>
        <w:tc>
          <w:tcPr>
            <w:tcW w:w="432" w:type="dxa"/>
            <w:noWrap w:val="0"/>
            <w:vAlign w:val="center"/>
          </w:tcPr>
          <w:p w14:paraId="59AE3C4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noWrap w:val="0"/>
            <w:vAlign w:val="center"/>
          </w:tcPr>
          <w:p w14:paraId="2CC128D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用人单位未建立、健全工作场所职业病危害因素监测及评价制度的</w:t>
            </w:r>
          </w:p>
        </w:tc>
        <w:tc>
          <w:tcPr>
            <w:tcW w:w="2693" w:type="dxa"/>
            <w:noWrap w:val="0"/>
            <w:vAlign w:val="center"/>
          </w:tcPr>
          <w:p w14:paraId="236FFF4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6AE68A0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《中华人民共和国职业病防治法》第七十条第（二）项  违反本法规定，有下列行为之一的，由卫生行政部门给予警告，责令限期改正；逾期不改正的，处十万元以下的罚款：（二）未采取本法第二十条规定的职业病防治管理措施的。</w:t>
            </w:r>
          </w:p>
          <w:p w14:paraId="7788551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《工作场所职业卫生管理规定》第四十八条第（五）项  用人单位有下列情形之一的，责令限期改正，给予警告；逾期未改正的，处十万元以下的罚款：（五）未建立、健全工作场所职业病危害因素监测及评价制度的。</w:t>
            </w:r>
          </w:p>
        </w:tc>
        <w:tc>
          <w:tcPr>
            <w:tcW w:w="2017" w:type="dxa"/>
            <w:noWrap w:val="0"/>
            <w:vAlign w:val="center"/>
          </w:tcPr>
          <w:p w14:paraId="5AB8803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5DB55A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95" w:hRule="atLeast"/>
        </w:trPr>
        <w:tc>
          <w:tcPr>
            <w:tcW w:w="432" w:type="dxa"/>
            <w:noWrap w:val="0"/>
            <w:vAlign w:val="center"/>
          </w:tcPr>
          <w:p w14:paraId="242A572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noWrap w:val="0"/>
            <w:vAlign w:val="center"/>
          </w:tcPr>
          <w:p w14:paraId="0D1E194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用人单位未按照规定公布有关职业病防治的规章制度、操作规程、职业病危害事故应急救援措施的</w:t>
            </w:r>
          </w:p>
        </w:tc>
        <w:tc>
          <w:tcPr>
            <w:tcW w:w="2693" w:type="dxa"/>
            <w:noWrap w:val="0"/>
            <w:vAlign w:val="center"/>
          </w:tcPr>
          <w:p w14:paraId="56A4E18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0F0EB7E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《中华人民共和国职业病防治法》第七十条第（三）项  违反本法规定，有下列行为之一的，由卫生行政部门给予警告，责令限期改正；逾期不改正的，处十万元以下的罚款：（三）未按照规定公布有关职业病防治的规章制度、操作规程、职业病危害事故应急救援措施的。</w:t>
            </w:r>
          </w:p>
          <w:p w14:paraId="7795F98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《工作场所职业卫生管理规定》第四十八条第（六）项  用人单位有下列情形之一的，责令限期改正，给予警告；逾期未改正的，处十万元以下的罚款：（六）未按照规定公布有关职业病防治的规章制度、操作规程、职业病危害事故应急救援措施的。</w:t>
            </w:r>
          </w:p>
        </w:tc>
        <w:tc>
          <w:tcPr>
            <w:tcW w:w="2017" w:type="dxa"/>
            <w:noWrap w:val="0"/>
            <w:vAlign w:val="center"/>
          </w:tcPr>
          <w:p w14:paraId="179D540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3594F2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6" w:hRule="atLeast"/>
        </w:trPr>
        <w:tc>
          <w:tcPr>
            <w:tcW w:w="432" w:type="dxa"/>
            <w:noWrap w:val="0"/>
            <w:vAlign w:val="center"/>
          </w:tcPr>
          <w:p w14:paraId="61D1464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noWrap w:val="0"/>
            <w:vAlign w:val="center"/>
          </w:tcPr>
          <w:p w14:paraId="47F3FA1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用人单位未依照有关规定在劳动者离开用人单位时提供职业健康监护档案复印件的</w:t>
            </w:r>
          </w:p>
        </w:tc>
        <w:tc>
          <w:tcPr>
            <w:tcW w:w="2693" w:type="dxa"/>
            <w:noWrap w:val="0"/>
            <w:vAlign w:val="center"/>
          </w:tcPr>
          <w:p w14:paraId="5D42053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6AAAB7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《中华人民共和国职业病防治法》第七十一条第（五）项  用人单位违反本法规定，有下列行为之一的，由卫生行政部门责令限期改正，给予警告，可以并处五万元以上十万元以下的罚款：（五）未依照本法规定在劳动者离开用人单位时提供职业健康监护档案复印件的。</w:t>
            </w:r>
          </w:p>
          <w:p w14:paraId="2351169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《工作场所职业卫生管理规定》第四十九条第（五）项  用人单位有下列情形之一的，责令限期改正，给予警告，可以并处五万元以上十万元以下的罚款：（五）未按照规定在劳动者离开用人单位时提供职业健康监护档案复印件的。</w:t>
            </w:r>
          </w:p>
        </w:tc>
        <w:tc>
          <w:tcPr>
            <w:tcW w:w="2017" w:type="dxa"/>
            <w:noWrap w:val="0"/>
            <w:vAlign w:val="center"/>
          </w:tcPr>
          <w:p w14:paraId="0F0B38C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38AA44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89" w:hRule="atLeast"/>
        </w:trPr>
        <w:tc>
          <w:tcPr>
            <w:tcW w:w="432" w:type="dxa"/>
            <w:noWrap w:val="0"/>
            <w:vAlign w:val="center"/>
          </w:tcPr>
          <w:p w14:paraId="162ED07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noWrap w:val="0"/>
            <w:vAlign w:val="center"/>
          </w:tcPr>
          <w:p w14:paraId="610E82F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用人单位未按照规定在产生严重职业病危害的作业岗位醒目位置设置警示标识和中文警示说明的</w:t>
            </w:r>
          </w:p>
        </w:tc>
        <w:tc>
          <w:tcPr>
            <w:tcW w:w="2693" w:type="dxa"/>
            <w:noWrap w:val="0"/>
            <w:vAlign w:val="center"/>
          </w:tcPr>
          <w:p w14:paraId="44D62D4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152CD37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《中华人民共和国职业病防治法》第七十二条第（八）项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八）未按照规定在产生严重职业病危害的作业岗位醒目位置设置警示标识和中文警示说明的。</w:t>
            </w:r>
          </w:p>
          <w:p w14:paraId="458D2D2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《工作场所职业卫生管理规定》第五十条第（七）项  用人单位有下列情形之一的，责令限期改正，给予警告；逾期未改正的，处五万元以上二十万元以下的罚款；情节严重的，责令停止产生职业病危害的作业，或者提请有关人民政府按照国务院规定的权限责令关闭：（七）未按照规定在产生严重职业病危害的作业岗位醒目位置设置警示标识和中文警示说明的。</w:t>
            </w:r>
          </w:p>
        </w:tc>
        <w:tc>
          <w:tcPr>
            <w:tcW w:w="2017" w:type="dxa"/>
            <w:noWrap w:val="0"/>
            <w:vAlign w:val="center"/>
          </w:tcPr>
          <w:p w14:paraId="7C499D2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1F1C17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114" w:hRule="atLeast"/>
        </w:trPr>
        <w:tc>
          <w:tcPr>
            <w:tcW w:w="432" w:type="dxa"/>
            <w:noWrap w:val="0"/>
            <w:vAlign w:val="center"/>
          </w:tcPr>
          <w:p w14:paraId="4D64B6E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noWrap w:val="0"/>
            <w:vAlign w:val="center"/>
          </w:tcPr>
          <w:p w14:paraId="131E1D6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用人单位的主要负责人、职业卫生管理人员未接受职业卫生培训的</w:t>
            </w:r>
          </w:p>
        </w:tc>
        <w:tc>
          <w:tcPr>
            <w:tcW w:w="2693" w:type="dxa"/>
            <w:noWrap w:val="0"/>
            <w:vAlign w:val="center"/>
          </w:tcPr>
          <w:p w14:paraId="12CB825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4D9A33E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《工作场所职业卫生管理规定》第四十七条第（二）项  用人单位有下列情形之一的，责令限期改正，给予警告，可以并处五千元以上二万元以下的罚款：（二）用人单位的主要负责人、职业卫生管理人员未接受职业卫生培训的。</w:t>
            </w:r>
          </w:p>
          <w:p w14:paraId="02E5816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《江苏省职业病防治条例》第四十一条  用人单位的主要负责人或者职业健康管理人员未按照国家规定接受培训的，由卫生健康部门责令用人单位限期改正，给予警告，可以并处五千元以上二万元以下罚款。</w:t>
            </w:r>
          </w:p>
        </w:tc>
        <w:tc>
          <w:tcPr>
            <w:tcW w:w="2017" w:type="dxa"/>
            <w:noWrap w:val="0"/>
            <w:vAlign w:val="center"/>
          </w:tcPr>
          <w:p w14:paraId="224C01B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606230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432" w:type="dxa"/>
            <w:noWrap w:val="0"/>
            <w:vAlign w:val="center"/>
          </w:tcPr>
          <w:p w14:paraId="65F1AD4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10</w:t>
            </w:r>
          </w:p>
        </w:tc>
        <w:tc>
          <w:tcPr>
            <w:tcW w:w="3112" w:type="dxa"/>
            <w:noWrap w:val="0"/>
            <w:vAlign w:val="center"/>
          </w:tcPr>
          <w:p w14:paraId="16F5ACC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医疗卫生机构允许未依照《护士条例》规定办理执业地点变更手续、延续执业注册有效期的护士在本机构从事诊疗技术规范规定的护理活动的</w:t>
            </w:r>
          </w:p>
        </w:tc>
        <w:tc>
          <w:tcPr>
            <w:tcW w:w="2693" w:type="dxa"/>
            <w:noWrap w:val="0"/>
            <w:vAlign w:val="center"/>
          </w:tcPr>
          <w:p w14:paraId="775481E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000CC64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《护士条例》第二十八条  医疗卫生机构有下列情形之一的，由县级以上地方人民政府卫生主管部门依据职责分工责令限期改正，给予警告；逾期不改正的，根据国务院卫生主管部门规定的护士配备标准和在医疗卫生机构合法执业的护士数量核减其诊疗科目，或者暂停其6个月以上1年以下执业活动；国家举办的医疗卫生机构有下列情形之一、情节严重的，还应当对负有责任的主管人员和其他直接责任人员依法给予处分：（二）允许未取得护士执业证书的人员或者允许未依照本条例规定办理执业地点变更手续、延续执业注册有效期的护士在本机构从事诊疗技术规范规定的护理活动的。</w:t>
            </w:r>
          </w:p>
        </w:tc>
        <w:tc>
          <w:tcPr>
            <w:tcW w:w="2017" w:type="dxa"/>
            <w:noWrap w:val="0"/>
            <w:vAlign w:val="center"/>
          </w:tcPr>
          <w:p w14:paraId="1B8744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1941E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88" w:hRule="atLeast"/>
        </w:trPr>
        <w:tc>
          <w:tcPr>
            <w:tcW w:w="432" w:type="dxa"/>
            <w:noWrap w:val="0"/>
            <w:vAlign w:val="center"/>
          </w:tcPr>
          <w:p w14:paraId="0FE36A6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11</w:t>
            </w:r>
          </w:p>
        </w:tc>
        <w:tc>
          <w:tcPr>
            <w:tcW w:w="3112" w:type="dxa"/>
            <w:noWrap w:val="0"/>
            <w:vAlign w:val="center"/>
          </w:tcPr>
          <w:p w14:paraId="22ED773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医疗卫生机构未制定、实施本机构护士在职培训计划或者未保证护士接受培训的</w:t>
            </w:r>
          </w:p>
        </w:tc>
        <w:tc>
          <w:tcPr>
            <w:tcW w:w="2693" w:type="dxa"/>
            <w:noWrap w:val="0"/>
            <w:vAlign w:val="center"/>
          </w:tcPr>
          <w:p w14:paraId="110E605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3CC2A57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《护士条例》第三十条第（一）项  医疗卫生机构有下列情形之一的，由县级以上地方人民政府卫生主管部门依据职责分工责令限期改正，给予警告：（一）未制定、实施本机构护士在职培训计划或者未保证护士接受培训的。 </w:t>
            </w:r>
          </w:p>
        </w:tc>
        <w:tc>
          <w:tcPr>
            <w:tcW w:w="2017" w:type="dxa"/>
            <w:noWrap w:val="0"/>
            <w:vAlign w:val="center"/>
          </w:tcPr>
          <w:p w14:paraId="36916B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2C7E44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88" w:hRule="atLeast"/>
        </w:trPr>
        <w:tc>
          <w:tcPr>
            <w:tcW w:w="432" w:type="dxa"/>
            <w:noWrap w:val="0"/>
            <w:vAlign w:val="center"/>
          </w:tcPr>
          <w:p w14:paraId="5ED2298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12</w:t>
            </w:r>
          </w:p>
        </w:tc>
        <w:tc>
          <w:tcPr>
            <w:tcW w:w="3112" w:type="dxa"/>
            <w:noWrap w:val="0"/>
            <w:vAlign w:val="center"/>
          </w:tcPr>
          <w:p w14:paraId="305DDB5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医疗机构未按照规定建立医疗器械临床使用管理工作制度的</w:t>
            </w:r>
          </w:p>
        </w:tc>
        <w:tc>
          <w:tcPr>
            <w:tcW w:w="2693" w:type="dxa"/>
            <w:noWrap w:val="0"/>
            <w:vAlign w:val="center"/>
          </w:tcPr>
          <w:p w14:paraId="4CA8BB4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634AD5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《医疗器械临床使用管理办法》第四十五条第（一）项  医疗机构违反本办法规定，有下列情形之一的，由县级以上地方卫生健康主管部门责令改正，给予警告；情节严重的，可以并处五千元以上三万元以下罚款：（一）未按照规定建立医疗器械临床使用管理工作制度的。</w:t>
            </w:r>
          </w:p>
        </w:tc>
        <w:tc>
          <w:tcPr>
            <w:tcW w:w="2017" w:type="dxa"/>
            <w:noWrap w:val="0"/>
            <w:vAlign w:val="center"/>
          </w:tcPr>
          <w:p w14:paraId="542D5E8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7DA8A4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88" w:hRule="atLeast"/>
        </w:trPr>
        <w:tc>
          <w:tcPr>
            <w:tcW w:w="432" w:type="dxa"/>
            <w:noWrap w:val="0"/>
            <w:vAlign w:val="center"/>
          </w:tcPr>
          <w:p w14:paraId="302C63A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13</w:t>
            </w:r>
          </w:p>
        </w:tc>
        <w:tc>
          <w:tcPr>
            <w:tcW w:w="3112" w:type="dxa"/>
            <w:noWrap w:val="0"/>
            <w:vAlign w:val="center"/>
          </w:tcPr>
          <w:p w14:paraId="609461A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医疗机构未按照规定设立医疗器械临床使用管理委员会或者配备专（兼）职人员负责本机构医疗器械临床使用管理工作的</w:t>
            </w:r>
          </w:p>
        </w:tc>
        <w:tc>
          <w:tcPr>
            <w:tcW w:w="2693" w:type="dxa"/>
            <w:noWrap w:val="0"/>
            <w:vAlign w:val="center"/>
          </w:tcPr>
          <w:p w14:paraId="4F08321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1E13831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《医疗器械临床使用管理办法》第四十五条第（二）项  医疗机构违反本办法规定，有下列情形之一的，由县级以上地方卫生健康主管部门责令改正，给予警告；情节严重的，可以并处五千元以上三万元以下罚款：（二）未按照规定设立医疗器械临床使用管理委员会或者配备专（兼）职人员负责本机构医疗器械临床使用管理工作的。</w:t>
            </w:r>
          </w:p>
        </w:tc>
        <w:tc>
          <w:tcPr>
            <w:tcW w:w="2017" w:type="dxa"/>
            <w:noWrap w:val="0"/>
            <w:vAlign w:val="center"/>
          </w:tcPr>
          <w:p w14:paraId="1055315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6EB6B0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88" w:hRule="atLeast"/>
        </w:trPr>
        <w:tc>
          <w:tcPr>
            <w:tcW w:w="432" w:type="dxa"/>
            <w:noWrap w:val="0"/>
            <w:vAlign w:val="center"/>
          </w:tcPr>
          <w:p w14:paraId="629E81B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14</w:t>
            </w:r>
          </w:p>
        </w:tc>
        <w:tc>
          <w:tcPr>
            <w:tcW w:w="3112" w:type="dxa"/>
            <w:noWrap w:val="0"/>
            <w:vAlign w:val="center"/>
          </w:tcPr>
          <w:p w14:paraId="48F8A1C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医疗机构未如实将科室分布示意图、医务人员照片公示于明显位置的；医疗机构工作人员未佩带统一的载有本人相关执业信息内容的标牌的</w:t>
            </w:r>
          </w:p>
        </w:tc>
        <w:tc>
          <w:tcPr>
            <w:tcW w:w="2693" w:type="dxa"/>
            <w:noWrap w:val="0"/>
            <w:vAlign w:val="center"/>
          </w:tcPr>
          <w:p w14:paraId="02A9CEF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3FFD415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《苏州市医疗机构执业管理办法》第十二条  医疗机构应当如实将《医疗机构执业许可证》、诊疗科目、诊疗时间、科室分布示意图、收费标准、医务人员照片公示于明显位置。医疗机构工作人员应当佩带统一的载有本人相关执业信息内容的标牌。</w:t>
            </w:r>
          </w:p>
          <w:p w14:paraId="1E24D81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第二十九条 违反本办法第十二条、第二十二条第三款规定的，由卫生行政部门责令限期改正，可以并处1000元以上5000元以下的罚款。</w:t>
            </w:r>
          </w:p>
        </w:tc>
        <w:tc>
          <w:tcPr>
            <w:tcW w:w="2017" w:type="dxa"/>
            <w:noWrap w:val="0"/>
            <w:vAlign w:val="center"/>
          </w:tcPr>
          <w:p w14:paraId="5694264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1B288B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30" w:hRule="atLeast"/>
        </w:trPr>
        <w:tc>
          <w:tcPr>
            <w:tcW w:w="432" w:type="dxa"/>
            <w:noWrap w:val="0"/>
            <w:vAlign w:val="center"/>
          </w:tcPr>
          <w:p w14:paraId="37D0F4A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15</w:t>
            </w:r>
          </w:p>
        </w:tc>
        <w:tc>
          <w:tcPr>
            <w:tcW w:w="3112" w:type="dxa"/>
            <w:noWrap w:val="0"/>
            <w:vAlign w:val="center"/>
          </w:tcPr>
          <w:p w14:paraId="23AE2FE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医疗机构未办理放射诊疗科目登记或者未按照规定进行校验从事放射诊疗工作的</w:t>
            </w:r>
          </w:p>
        </w:tc>
        <w:tc>
          <w:tcPr>
            <w:tcW w:w="2693" w:type="dxa"/>
            <w:noWrap w:val="0"/>
            <w:vAlign w:val="center"/>
          </w:tcPr>
          <w:p w14:paraId="00CD150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符合《中华人民共和国行政处罚法》和《江苏省卫生健康领域初次或者轻微违法行为不予行政处罚指导意见》规定条件；未校验不超过1个月</w:t>
            </w:r>
          </w:p>
        </w:tc>
        <w:tc>
          <w:tcPr>
            <w:tcW w:w="5812" w:type="dxa"/>
            <w:noWrap w:val="0"/>
            <w:vAlign w:val="center"/>
          </w:tcPr>
          <w:p w14:paraId="148420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《放射诊疗管理规定》第三十八条第（二）项  医疗机构有下列情形之一的，由县级以上卫生行政部门给予警告、责令限期改正，并可以根据情节处以3000元以下的罚款；情节严重的，吊销其《医疗机构执业许可证》。（二）未办理诊疗科目登记或者未按照规定进行校验的。</w:t>
            </w:r>
          </w:p>
        </w:tc>
        <w:tc>
          <w:tcPr>
            <w:tcW w:w="2017" w:type="dxa"/>
            <w:noWrap w:val="0"/>
            <w:vAlign w:val="center"/>
          </w:tcPr>
          <w:p w14:paraId="4E3C8D4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20B7F6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6" w:hRule="atLeast"/>
        </w:trPr>
        <w:tc>
          <w:tcPr>
            <w:tcW w:w="432" w:type="dxa"/>
            <w:noWrap w:val="0"/>
            <w:vAlign w:val="center"/>
          </w:tcPr>
          <w:p w14:paraId="5B013D9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16</w:t>
            </w:r>
          </w:p>
        </w:tc>
        <w:tc>
          <w:tcPr>
            <w:tcW w:w="3112" w:type="dxa"/>
            <w:noWrap w:val="0"/>
            <w:vAlign w:val="center"/>
          </w:tcPr>
          <w:p w14:paraId="7A683D0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医疗卫生机构未建立、健全医疗废物管理制度，或者未设置监控部门或者专（兼）职人员的</w:t>
            </w:r>
          </w:p>
        </w:tc>
        <w:tc>
          <w:tcPr>
            <w:tcW w:w="2693" w:type="dxa"/>
            <w:noWrap w:val="0"/>
            <w:vAlign w:val="center"/>
          </w:tcPr>
          <w:p w14:paraId="50033F4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w:t>
            </w:r>
          </w:p>
        </w:tc>
        <w:tc>
          <w:tcPr>
            <w:tcW w:w="5812" w:type="dxa"/>
            <w:noWrap w:val="0"/>
            <w:vAlign w:val="center"/>
          </w:tcPr>
          <w:p w14:paraId="1761578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《医疗废物管理条例》第四十五条第（一）项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一）未建立、健全医疗废物管理制度，或者未设置监控部门或者专（兼）职人员的。</w:t>
            </w:r>
          </w:p>
          <w:p w14:paraId="1209802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《医疗卫生机构医疗废物管理办法》第三十九条第（一）项  医疗卫生机构违反《医疗废物管理条例》及本办法规定，有下列情形之一的，由县级以上地方人民政府卫生行政主管部门责令限期改正、给予警告；逾期不改正的，处以2000元以上5000元以下的罚款：(一)未建立、健全医疗废物管理制度，或者未设置监控部门或者专(兼)职人员的。</w:t>
            </w:r>
          </w:p>
        </w:tc>
        <w:tc>
          <w:tcPr>
            <w:tcW w:w="2017" w:type="dxa"/>
            <w:noWrap w:val="0"/>
            <w:vAlign w:val="center"/>
          </w:tcPr>
          <w:p w14:paraId="3222621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0C459D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88" w:hRule="atLeast"/>
        </w:trPr>
        <w:tc>
          <w:tcPr>
            <w:tcW w:w="432" w:type="dxa"/>
            <w:noWrap w:val="0"/>
            <w:vAlign w:val="center"/>
          </w:tcPr>
          <w:p w14:paraId="6C5AAC3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17</w:t>
            </w:r>
          </w:p>
        </w:tc>
        <w:tc>
          <w:tcPr>
            <w:tcW w:w="3112" w:type="dxa"/>
            <w:noWrap w:val="0"/>
            <w:vAlign w:val="center"/>
          </w:tcPr>
          <w:p w14:paraId="3FD1099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医疗卫生机构医疗废物暂时贮存地点、设施或者设备不符合卫生要求的</w:t>
            </w:r>
          </w:p>
        </w:tc>
        <w:tc>
          <w:tcPr>
            <w:tcW w:w="2693" w:type="dxa"/>
            <w:noWrap w:val="0"/>
            <w:vAlign w:val="center"/>
          </w:tcPr>
          <w:p w14:paraId="2B8378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医疗卫生机构建立的医疗废物暂时贮存地点、设施或者设备上的医疗废物警示标识或者“禁止吸烟、饮食”的警示标识损坏</w:t>
            </w:r>
          </w:p>
        </w:tc>
        <w:tc>
          <w:tcPr>
            <w:tcW w:w="5812" w:type="dxa"/>
            <w:noWrap w:val="0"/>
            <w:vAlign w:val="center"/>
          </w:tcPr>
          <w:p w14:paraId="0FEA132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《医疗废物管理条例》第四十六条第（一）项  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 （一）贮存设施或者设备不符合环境保护、卫生要求的。</w:t>
            </w:r>
          </w:p>
          <w:p w14:paraId="4AC628D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《医疗卫生机构医疗废物管理办法》第四十条第（一）项  医疗卫生机构违反《医疗废物管理条例》及本办法规定，有下列情形之一的，由县级以上地方人民政府卫生行政主管部门责令限期改正、给予警告，可以并处5000元以下的罚款；逾期不改正的，处5000元以上3万元以下的罚款：(一)医疗废物暂时贮存地点、设施或者设备不符合卫生要求的。       </w:t>
            </w:r>
          </w:p>
        </w:tc>
        <w:tc>
          <w:tcPr>
            <w:tcW w:w="2017" w:type="dxa"/>
            <w:noWrap w:val="0"/>
            <w:vAlign w:val="center"/>
          </w:tcPr>
          <w:p w14:paraId="640047B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7EA63B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89" w:hRule="atLeast"/>
        </w:trPr>
        <w:tc>
          <w:tcPr>
            <w:tcW w:w="432" w:type="dxa"/>
            <w:noWrap w:val="0"/>
            <w:vAlign w:val="center"/>
          </w:tcPr>
          <w:p w14:paraId="15A9588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18</w:t>
            </w:r>
          </w:p>
        </w:tc>
        <w:tc>
          <w:tcPr>
            <w:tcW w:w="3112" w:type="dxa"/>
            <w:noWrap w:val="0"/>
            <w:vAlign w:val="center"/>
          </w:tcPr>
          <w:p w14:paraId="7041A46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医疗卫生机构未使用符合标准的运送工具运送医疗废物的</w:t>
            </w:r>
          </w:p>
        </w:tc>
        <w:tc>
          <w:tcPr>
            <w:tcW w:w="2693" w:type="dxa"/>
            <w:noWrap w:val="0"/>
            <w:vAlign w:val="center"/>
          </w:tcPr>
          <w:p w14:paraId="49DABD4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符合《中华人民共和国行政处罚法》和《江苏省卫生健康领域初次或者轻微违法行为不予行政处罚指导意见》规定条件；医疗卫生机构使用的医疗废物运送工具上的医疗废物警示标识损坏</w:t>
            </w:r>
          </w:p>
        </w:tc>
        <w:tc>
          <w:tcPr>
            <w:tcW w:w="5812" w:type="dxa"/>
            <w:noWrap w:val="0"/>
            <w:vAlign w:val="center"/>
          </w:tcPr>
          <w:p w14:paraId="4999C51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《医疗废物管理条例》第四十六条第（三）项  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三）未使用符合标准的专用车辆运送医疗废物或者使用运送医疗废物的车辆运送其他物品的。</w:t>
            </w:r>
          </w:p>
          <w:p w14:paraId="1907C91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《医疗卫生机构医疗废物管理办法》第四十条第（三）项  医疗卫生机构违反《医疗废物管理条例》及本办法规定，有下列情形之一的，由县级以上地方人民政府卫生行政主管部门责令限期改正、给予警告，可以并处5000元以下的罚款；逾期不改正的，处5000元以上3万元以下的罚款：(三)使用的医疗废物运送工具不符合要求的。     </w:t>
            </w:r>
          </w:p>
        </w:tc>
        <w:tc>
          <w:tcPr>
            <w:tcW w:w="2017" w:type="dxa"/>
            <w:noWrap w:val="0"/>
            <w:vAlign w:val="center"/>
          </w:tcPr>
          <w:p w14:paraId="291741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2E3962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66" w:hRule="atLeast"/>
        </w:trPr>
        <w:tc>
          <w:tcPr>
            <w:tcW w:w="432" w:type="dxa"/>
            <w:noWrap w:val="0"/>
            <w:vAlign w:val="center"/>
          </w:tcPr>
          <w:p w14:paraId="16194CA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19</w:t>
            </w:r>
          </w:p>
        </w:tc>
        <w:tc>
          <w:tcPr>
            <w:tcW w:w="3112" w:type="dxa"/>
            <w:noWrap w:val="0"/>
            <w:vAlign w:val="center"/>
          </w:tcPr>
          <w:p w14:paraId="5707B9B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实验室未依照规定在明显位置标示国务院卫生主管部门规定的生物危险标识和生物安全实验室级别标志的</w:t>
            </w:r>
          </w:p>
        </w:tc>
        <w:tc>
          <w:tcPr>
            <w:tcW w:w="2693" w:type="dxa"/>
            <w:noWrap w:val="0"/>
            <w:vAlign w:val="center"/>
          </w:tcPr>
          <w:p w14:paraId="25A27F0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符合《中华人民共和国行政处罚法》和《江苏省卫生健康领域初次或者轻微违法行为不予行政处罚指导意见》规定条件；自实验室开展工作起未标示级别标志不超过1个月</w:t>
            </w:r>
          </w:p>
        </w:tc>
        <w:tc>
          <w:tcPr>
            <w:tcW w:w="5812" w:type="dxa"/>
            <w:noWrap w:val="0"/>
            <w:vAlign w:val="center"/>
          </w:tcPr>
          <w:p w14:paraId="316789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《病原微生物实验室生物安全管理条例》第六十条第（一）项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一）未依照规定在明显位置标示国务院卫生主管部门和兽医主管部门规定的生物危险标识和生物安全实验室级别标志的。</w:t>
            </w:r>
          </w:p>
        </w:tc>
        <w:tc>
          <w:tcPr>
            <w:tcW w:w="2017" w:type="dxa"/>
            <w:noWrap w:val="0"/>
            <w:vAlign w:val="center"/>
          </w:tcPr>
          <w:p w14:paraId="0E5BF4D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140E0B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10" w:hRule="atLeast"/>
        </w:trPr>
        <w:tc>
          <w:tcPr>
            <w:tcW w:w="432" w:type="dxa"/>
            <w:noWrap w:val="0"/>
            <w:vAlign w:val="center"/>
          </w:tcPr>
          <w:p w14:paraId="328C930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20</w:t>
            </w:r>
          </w:p>
        </w:tc>
        <w:tc>
          <w:tcPr>
            <w:tcW w:w="3112" w:type="dxa"/>
            <w:noWrap w:val="0"/>
            <w:vAlign w:val="center"/>
          </w:tcPr>
          <w:p w14:paraId="2A8ADB6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实验室未依照规定制定实验室感染应急处置预案并备案的</w:t>
            </w:r>
          </w:p>
        </w:tc>
        <w:tc>
          <w:tcPr>
            <w:tcW w:w="2693" w:type="dxa"/>
            <w:noWrap w:val="0"/>
            <w:vAlign w:val="center"/>
          </w:tcPr>
          <w:p w14:paraId="1A58CD1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符合《中华人民共和国行政处罚法》和《江苏省卫生健康领域初次或者轻微违法行为不予行政处罚指导意见》规定条件；已制定实验室感染应急处置预案，但未备案不超过1个月</w:t>
            </w:r>
          </w:p>
        </w:tc>
        <w:tc>
          <w:tcPr>
            <w:tcW w:w="5812" w:type="dxa"/>
            <w:noWrap w:val="0"/>
            <w:vAlign w:val="center"/>
          </w:tcPr>
          <w:p w14:paraId="64C3F16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《病原微生物实验室生物安全管理条例》第六十条第（八）项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八）未依照规定制定实验室感染应急处置预案并备案的。</w:t>
            </w:r>
          </w:p>
        </w:tc>
        <w:tc>
          <w:tcPr>
            <w:tcW w:w="2017" w:type="dxa"/>
            <w:noWrap w:val="0"/>
            <w:vAlign w:val="center"/>
          </w:tcPr>
          <w:p w14:paraId="5CC1936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63A01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80" w:hRule="atLeast"/>
        </w:trPr>
        <w:tc>
          <w:tcPr>
            <w:tcW w:w="432" w:type="dxa"/>
            <w:noWrap w:val="0"/>
            <w:vAlign w:val="center"/>
          </w:tcPr>
          <w:p w14:paraId="01EA515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21</w:t>
            </w:r>
          </w:p>
        </w:tc>
        <w:tc>
          <w:tcPr>
            <w:tcW w:w="3112" w:type="dxa"/>
            <w:noWrap w:val="0"/>
            <w:vAlign w:val="center"/>
          </w:tcPr>
          <w:p w14:paraId="24CD244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未依法取得公共场所卫生许可证擅自营业的</w:t>
            </w:r>
          </w:p>
        </w:tc>
        <w:tc>
          <w:tcPr>
            <w:tcW w:w="2693" w:type="dxa"/>
            <w:noWrap w:val="0"/>
            <w:vAlign w:val="center"/>
          </w:tcPr>
          <w:p w14:paraId="1C9A3C6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符合《中华人民共和国行政处罚法》和《江苏省卫生健康领域初次或者轻微违法行为不予行政处罚指导意见》规定条件；擅自营业不超过15天，或者已取得公共场所卫生许可证，但未延续不超过1个月</w:t>
            </w:r>
          </w:p>
        </w:tc>
        <w:tc>
          <w:tcPr>
            <w:tcW w:w="5812" w:type="dxa"/>
            <w:noWrap w:val="0"/>
            <w:vAlign w:val="center"/>
          </w:tcPr>
          <w:p w14:paraId="00BD4C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《公共场所卫生管理条例》第十四条第一款第（四）项  凡有下列行为之一的单位或者个人，卫生防疫机构可以根据情节轻重，给予警告、罚款、停业整顿、吊销“卫生许可证”的行政处罚：（四）未取得“卫生许可证”，擅自营业的。</w:t>
            </w:r>
          </w:p>
          <w:p w14:paraId="2AB4FEC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《公共场所卫生管理条例实施细则》第三十五条第一款  对未依法取得公共场所卫生许可证擅自营业的，由县级以上地方人民政府卫生计生行政部门责令限期改正，给予警告，并处以五百元以上五千元以下罚款；有下列情形之一的，处以五千元以上三万元以下罚款：（一）擅自营业曾受过卫生计生行政部门处罚的；（二）擅自营业时间在三个月以上的；（三）以涂改、转让、倒卖、伪造的卫生许可证擅自营业的。</w:t>
            </w:r>
          </w:p>
        </w:tc>
        <w:tc>
          <w:tcPr>
            <w:tcW w:w="2017" w:type="dxa"/>
            <w:noWrap w:val="0"/>
            <w:vAlign w:val="center"/>
          </w:tcPr>
          <w:p w14:paraId="129B3FF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222B9D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88" w:hRule="atLeast"/>
        </w:trPr>
        <w:tc>
          <w:tcPr>
            <w:tcW w:w="432" w:type="dxa"/>
            <w:noWrap w:val="0"/>
            <w:vAlign w:val="center"/>
          </w:tcPr>
          <w:p w14:paraId="5C420AA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22</w:t>
            </w:r>
          </w:p>
        </w:tc>
        <w:tc>
          <w:tcPr>
            <w:tcW w:w="3112" w:type="dxa"/>
            <w:noWrap w:val="0"/>
            <w:vAlign w:val="center"/>
          </w:tcPr>
          <w:p w14:paraId="605A69F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公共场所经营者未按照规定对公共场所卫生质量进行卫生检测的</w:t>
            </w:r>
          </w:p>
        </w:tc>
        <w:tc>
          <w:tcPr>
            <w:tcW w:w="2693" w:type="dxa"/>
            <w:noWrap w:val="0"/>
            <w:vAlign w:val="center"/>
          </w:tcPr>
          <w:p w14:paraId="25A6392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未按照规定对公共场所的物理因素、室内空气质量、生活饮用水、游泳池水（沐浴用水）、集中空调通风系统、公共用品用具等种类进行卫生检测，且未检测仅涉及1个种类，或者种类齐全但缺少检测项目不超过3个。</w:t>
            </w:r>
          </w:p>
        </w:tc>
        <w:tc>
          <w:tcPr>
            <w:tcW w:w="5812" w:type="dxa"/>
            <w:noWrap w:val="0"/>
            <w:vAlign w:val="center"/>
          </w:tcPr>
          <w:p w14:paraId="54DDAFF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《公共场所卫生管理条例》第十四条第一款第（一）项  凡有下列行为之一的单位或者个人，卫生防疫机构可以根据情节轻重，给予警告、罚款、停业整顿、吊销“卫生许可证”的行政处罚：（一）卫生质量不符合国家卫生标准和要求，而继续营业的。</w:t>
            </w:r>
          </w:p>
          <w:p w14:paraId="36BA745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《公共场所卫生管理条例实施细则》第三十六条第（一）项  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依法责令停业整顿，直至吊销卫生许可证：（一）未按照规定对公共场所的空气、微小气候、水质、采光、照明、噪声、顾客用品用具等进行卫生检测的。</w:t>
            </w:r>
          </w:p>
        </w:tc>
        <w:tc>
          <w:tcPr>
            <w:tcW w:w="2017" w:type="dxa"/>
            <w:noWrap w:val="0"/>
            <w:vAlign w:val="center"/>
          </w:tcPr>
          <w:p w14:paraId="395B0AE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7CF0F3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80" w:hRule="atLeast"/>
        </w:trPr>
        <w:tc>
          <w:tcPr>
            <w:tcW w:w="432" w:type="dxa"/>
            <w:noWrap w:val="0"/>
            <w:vAlign w:val="center"/>
          </w:tcPr>
          <w:p w14:paraId="0B3F273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23</w:t>
            </w:r>
          </w:p>
        </w:tc>
        <w:tc>
          <w:tcPr>
            <w:tcW w:w="3112" w:type="dxa"/>
            <w:noWrap w:val="0"/>
            <w:vAlign w:val="center"/>
          </w:tcPr>
          <w:p w14:paraId="1D76E9F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公共场所经营者安排未获得有效健康合格证明的从业人员从事直接为顾客服务工作的</w:t>
            </w:r>
          </w:p>
        </w:tc>
        <w:tc>
          <w:tcPr>
            <w:tcW w:w="2693" w:type="dxa"/>
            <w:noWrap w:val="0"/>
            <w:vAlign w:val="center"/>
          </w:tcPr>
          <w:p w14:paraId="27FB007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符合《中华人民共和国行政处罚法》和《江苏省卫生健康领域初次或者轻微违法行为不予行政处罚指导意见》规定条件；未取得健康合格证明不超过3人，或者持有的健康合格证明已过期，但逾期不超过1个月</w:t>
            </w:r>
          </w:p>
        </w:tc>
        <w:tc>
          <w:tcPr>
            <w:tcW w:w="5812" w:type="dxa"/>
            <w:noWrap w:val="0"/>
            <w:vAlign w:val="center"/>
          </w:tcPr>
          <w:p w14:paraId="3615809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《公共场所卫生管理条例》第十四条第一款第（二）项  凡有下列行为之一的单位或者个人，卫生防疫机构可以根据情节轻重，给予警告、罚款、停业整顿、吊销“卫生许可证”的行政处罚：（二）未获得“健康合格证”，而从事直接为顾客服务的。</w:t>
            </w:r>
          </w:p>
          <w:p w14:paraId="135AD73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《公共场所卫生管理条例实施细则》第三十八条  公共场所经营者安排未获得有效健康合格证明的从业人员从事直接为顾客服务工作的，由县级以上地方人民政府卫生计生行政部门责令限期改正，给予警告，并处以五百元以上五千元以下罚款；逾期不改正的，处以五千元以上一万五千元以下罚款。</w:t>
            </w:r>
          </w:p>
        </w:tc>
        <w:tc>
          <w:tcPr>
            <w:tcW w:w="2017" w:type="dxa"/>
            <w:noWrap w:val="0"/>
            <w:vAlign w:val="center"/>
          </w:tcPr>
          <w:p w14:paraId="5B89020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5DE95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32" w:hRule="atLeast"/>
        </w:trPr>
        <w:tc>
          <w:tcPr>
            <w:tcW w:w="432" w:type="dxa"/>
            <w:noWrap w:val="0"/>
            <w:vAlign w:val="center"/>
          </w:tcPr>
          <w:p w14:paraId="4A3CA96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24</w:t>
            </w:r>
          </w:p>
        </w:tc>
        <w:tc>
          <w:tcPr>
            <w:tcW w:w="3112" w:type="dxa"/>
            <w:noWrap w:val="0"/>
            <w:vAlign w:val="center"/>
          </w:tcPr>
          <w:p w14:paraId="5E47A70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学校教室前排课桌椅设置不符合标准的</w:t>
            </w:r>
          </w:p>
        </w:tc>
        <w:tc>
          <w:tcPr>
            <w:tcW w:w="2693" w:type="dxa"/>
            <w:noWrap w:val="0"/>
            <w:vAlign w:val="center"/>
          </w:tcPr>
          <w:p w14:paraId="5077EA3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符合《中华人民共和国行政处罚法》和《江苏省卫生健康领域初次或者轻微违法行为不予行政处罚指导意见》规定条件；差值不超过10%</w:t>
            </w:r>
          </w:p>
        </w:tc>
        <w:tc>
          <w:tcPr>
            <w:tcW w:w="5812" w:type="dxa"/>
            <w:noWrap w:val="0"/>
            <w:vAlign w:val="center"/>
          </w:tcPr>
          <w:p w14:paraId="5B847B3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《学校卫生工作条例》第六条第一款  学校教学建筑、环境噪声、室内微小气候、采光、照明等环境质量以及黑板、课桌椅的设置应当符合国家有关标准。</w:t>
            </w:r>
          </w:p>
          <w:p w14:paraId="3360B6B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第三十三条  违反本条例第六条第一款、第七条和第十条规定的，由卫生行政部门对直接责任单位或者个人给予警告并责令限期改进。情节严重的，可以同时建议教育行政部门给予行政处分。</w:t>
            </w:r>
          </w:p>
        </w:tc>
        <w:tc>
          <w:tcPr>
            <w:tcW w:w="2017" w:type="dxa"/>
            <w:noWrap w:val="0"/>
            <w:vAlign w:val="center"/>
          </w:tcPr>
          <w:p w14:paraId="5BA1371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2602A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88" w:hRule="atLeast"/>
        </w:trPr>
        <w:tc>
          <w:tcPr>
            <w:tcW w:w="432" w:type="dxa"/>
            <w:noWrap w:val="0"/>
            <w:vAlign w:val="center"/>
          </w:tcPr>
          <w:p w14:paraId="641F21D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25</w:t>
            </w:r>
          </w:p>
        </w:tc>
        <w:tc>
          <w:tcPr>
            <w:tcW w:w="3112" w:type="dxa"/>
            <w:noWrap w:val="0"/>
            <w:vAlign w:val="center"/>
          </w:tcPr>
          <w:p w14:paraId="6035379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集中式供水单位安排未取得体检合格证的人员从事直接供、管水工作的</w:t>
            </w:r>
          </w:p>
        </w:tc>
        <w:tc>
          <w:tcPr>
            <w:tcW w:w="2693" w:type="dxa"/>
            <w:noWrap w:val="0"/>
            <w:vAlign w:val="center"/>
          </w:tcPr>
          <w:p w14:paraId="3F9C716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符合《中华人民共和国行政处罚法》和《江苏省卫生健康领域初次或者轻微违法行为不予行政处罚指导意见》规定条件；未取得健康合格证明不超过3人，或者持有的健康合格证明已过期，但逾期不超过1个月</w:t>
            </w:r>
          </w:p>
        </w:tc>
        <w:tc>
          <w:tcPr>
            <w:tcW w:w="5812" w:type="dxa"/>
            <w:noWrap w:val="0"/>
            <w:vAlign w:val="center"/>
          </w:tcPr>
          <w:p w14:paraId="0D7DF25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《生活饮用水卫生监督管理办法》第二十五条  集中式供水单位安排未取得体检合格证的人员从事直接供、管水工作或安排患有有碍饮用水卫生疾病的或病原携带者从事直接供、管水工作的，县级以上地方人民政府卫生计生主管部门应当责令限期改进，并可对供水单位处以20元以上1000元以下的罚款。</w:t>
            </w:r>
          </w:p>
        </w:tc>
        <w:tc>
          <w:tcPr>
            <w:tcW w:w="2017" w:type="dxa"/>
            <w:noWrap w:val="0"/>
            <w:vAlign w:val="center"/>
          </w:tcPr>
          <w:p w14:paraId="4462735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市级、县级卫生健康行政部门及经依法授权行使本清单所列行政处罚事项的主体</w:t>
            </w:r>
          </w:p>
        </w:tc>
      </w:tr>
      <w:tr w14:paraId="508F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B08443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noWrap w:val="0"/>
            <w:vAlign w:val="center"/>
          </w:tcPr>
          <w:p w14:paraId="20B7C1D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生产经营单位未如实记录安全生产教育和培训情况。</w:t>
            </w:r>
          </w:p>
        </w:tc>
        <w:tc>
          <w:tcPr>
            <w:tcW w:w="2693" w:type="dxa"/>
            <w:noWrap w:val="0"/>
            <w:vAlign w:val="center"/>
          </w:tcPr>
          <w:p w14:paraId="63180C7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生产经营单位已按照规定开展安全生产教育和培训，但未如实记录培训内容的，涉及人员10人以下。</w:t>
            </w:r>
          </w:p>
        </w:tc>
        <w:tc>
          <w:tcPr>
            <w:tcW w:w="5812" w:type="dxa"/>
            <w:noWrap w:val="0"/>
            <w:vAlign w:val="center"/>
          </w:tcPr>
          <w:p w14:paraId="6E34CE5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安全生产法》第九十七条第（四）项：生产经营单位有下列行为之一的，责令限期改正，处十万元以下的罚款；逾期未改正的，责令停产停业整顿，并处十万元以上二十万元以下的罚款，对其直接负责的主管人员和其他直接责任人员处二万元以上五万元以下的罚款：（四）未如实记录安全生产教育和培训情况的。</w:t>
            </w:r>
          </w:p>
        </w:tc>
        <w:tc>
          <w:tcPr>
            <w:tcW w:w="2017" w:type="dxa"/>
            <w:noWrap w:val="0"/>
            <w:vAlign w:val="center"/>
          </w:tcPr>
          <w:p w14:paraId="5871192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57A2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BA1CA5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63C67CC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生产经营单位从业人员安全培训的时间少于《生产经营单位安全培训规定》或者有关标准规定。</w:t>
            </w:r>
          </w:p>
        </w:tc>
        <w:tc>
          <w:tcPr>
            <w:tcW w:w="2693" w:type="dxa"/>
            <w:noWrap w:val="0"/>
            <w:vAlign w:val="center"/>
          </w:tcPr>
          <w:p w14:paraId="3AB7363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生产经营单位从业人员安全培训时间不符合规定，涉及人员3人以下。</w:t>
            </w:r>
          </w:p>
        </w:tc>
        <w:tc>
          <w:tcPr>
            <w:tcW w:w="5812" w:type="dxa"/>
            <w:noWrap w:val="0"/>
            <w:vAlign w:val="center"/>
          </w:tcPr>
          <w:p w14:paraId="16C98DA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《安全生产培训管理办法》第三十六条第（一）项：生产经营单位有下列情形之一的，责令改正，处3万元以下的罚款：（一）从业人员安全培训的时间少于《生产经营单位安全培训规定》或者有关标准规定的。</w:t>
            </w:r>
          </w:p>
        </w:tc>
        <w:tc>
          <w:tcPr>
            <w:tcW w:w="2017" w:type="dxa"/>
            <w:noWrap w:val="0"/>
            <w:vAlign w:val="center"/>
          </w:tcPr>
          <w:p w14:paraId="4D6D449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6CC0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9BFD73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7D7ABE6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生产经营单位未将安全培训工作纳入本单位工作计划并保证安全培训工作所需资金。</w:t>
            </w:r>
          </w:p>
        </w:tc>
        <w:tc>
          <w:tcPr>
            <w:tcW w:w="2693" w:type="dxa"/>
            <w:noWrap w:val="0"/>
            <w:vAlign w:val="center"/>
          </w:tcPr>
          <w:p w14:paraId="573BCF4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生产经营单位已投入保证安全培训工作的所需资金并开展安全培训工作，但未纳入本单位工作计划。</w:t>
            </w:r>
          </w:p>
        </w:tc>
        <w:tc>
          <w:tcPr>
            <w:tcW w:w="5812" w:type="dxa"/>
            <w:noWrap w:val="0"/>
            <w:vAlign w:val="center"/>
          </w:tcPr>
          <w:p w14:paraId="3E6EF64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安全培训规定》第二十九条第（一）项：生产经营单位有下列行为之一的，由安全生产监管监察部门责令其限期改正，可以处1万元以上3万元以下的罚款：（一）未将安全培训工作纳入本单位工作计划并保证安全培训工作所需资金的。</w:t>
            </w:r>
          </w:p>
        </w:tc>
        <w:tc>
          <w:tcPr>
            <w:tcW w:w="2017" w:type="dxa"/>
            <w:noWrap w:val="0"/>
            <w:vAlign w:val="center"/>
          </w:tcPr>
          <w:p w14:paraId="14C286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058F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32" w:type="dxa"/>
            <w:noWrap w:val="0"/>
            <w:vAlign w:val="center"/>
          </w:tcPr>
          <w:p w14:paraId="7552BB1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0E4AD04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生产经营单位未建立健全特种作业人员档案。</w:t>
            </w:r>
          </w:p>
          <w:p w14:paraId="1085E77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693" w:type="dxa"/>
            <w:noWrap w:val="0"/>
            <w:vAlign w:val="center"/>
          </w:tcPr>
          <w:p w14:paraId="0C59809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生产经营单位未建立健全特种作业人员档案，涉及人员3人以下。</w:t>
            </w:r>
          </w:p>
        </w:tc>
        <w:tc>
          <w:tcPr>
            <w:tcW w:w="5812" w:type="dxa"/>
            <w:noWrap w:val="0"/>
            <w:vAlign w:val="center"/>
          </w:tcPr>
          <w:p w14:paraId="1191B93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《特种作业人员安全技术培训考核管理规定》第三十八条：生产经营单位未建立健全特种作业人员档案的，给予警告，并处1万元以下的罚款。</w:t>
            </w:r>
          </w:p>
        </w:tc>
        <w:tc>
          <w:tcPr>
            <w:tcW w:w="2017" w:type="dxa"/>
            <w:noWrap w:val="0"/>
            <w:vAlign w:val="center"/>
          </w:tcPr>
          <w:p w14:paraId="59A4195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1765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DA9CB1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noWrap w:val="0"/>
            <w:vAlign w:val="center"/>
          </w:tcPr>
          <w:p w14:paraId="1154922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工业企业未将安全风险管控纳入年度安全生产教育培训计划。</w:t>
            </w:r>
          </w:p>
        </w:tc>
        <w:tc>
          <w:tcPr>
            <w:tcW w:w="2693" w:type="dxa"/>
            <w:noWrap w:val="0"/>
            <w:vAlign w:val="center"/>
          </w:tcPr>
          <w:p w14:paraId="5DB1383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工业企业已开展安全风险管控教育培训，但未将安全风险管控纳入年度安全生产教育培训计划。</w:t>
            </w:r>
          </w:p>
        </w:tc>
        <w:tc>
          <w:tcPr>
            <w:tcW w:w="5812" w:type="dxa"/>
            <w:noWrap w:val="0"/>
            <w:vAlign w:val="center"/>
          </w:tcPr>
          <w:p w14:paraId="7EEF83E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江苏省工业企业安全生产风险报告规定》第三十四条第（四）项：企业违反本规定有下歹小清形之一的，由负有安全生产监督管理职责的部门责令限期改正，可以处五万元以下的罚款：（四）未将安全风险管控纳入年度安全生产教育培训计划或者未组织实施的。</w:t>
            </w:r>
          </w:p>
        </w:tc>
        <w:tc>
          <w:tcPr>
            <w:tcW w:w="2017" w:type="dxa"/>
            <w:noWrap w:val="0"/>
            <w:vAlign w:val="center"/>
          </w:tcPr>
          <w:p w14:paraId="55125B9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5429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DF513D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noWrap w:val="0"/>
            <w:vAlign w:val="center"/>
          </w:tcPr>
          <w:p w14:paraId="23CE5B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生产经营单位未将事故隐患排查治理情况向从业人员通报。</w:t>
            </w:r>
          </w:p>
          <w:p w14:paraId="6289F0C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693" w:type="dxa"/>
            <w:noWrap w:val="0"/>
            <w:vAlign w:val="center"/>
          </w:tcPr>
          <w:p w14:paraId="5B71A52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生产经营单位已按规定开展事故隐患排查治理，但未向从业人员通报。</w:t>
            </w:r>
          </w:p>
        </w:tc>
        <w:tc>
          <w:tcPr>
            <w:tcW w:w="5812" w:type="dxa"/>
            <w:noWrap w:val="0"/>
            <w:vAlign w:val="center"/>
          </w:tcPr>
          <w:p w14:paraId="7A67DBC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安全生产法》第九十七条第（五）项：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五）未将事故隐患排查治理情况如实记录或者未向从业人员通报的。</w:t>
            </w:r>
          </w:p>
        </w:tc>
        <w:tc>
          <w:tcPr>
            <w:tcW w:w="2017" w:type="dxa"/>
            <w:noWrap w:val="0"/>
            <w:vAlign w:val="center"/>
          </w:tcPr>
          <w:p w14:paraId="49023D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470B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ABD2DA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noWrap w:val="0"/>
            <w:vAlign w:val="center"/>
          </w:tcPr>
          <w:p w14:paraId="2BFF9F0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生产经营单位未按规定上报事故隐患排查治理统计分析表。</w:t>
            </w:r>
          </w:p>
        </w:tc>
        <w:tc>
          <w:tcPr>
            <w:tcW w:w="2693" w:type="dxa"/>
            <w:noWrap w:val="0"/>
            <w:vAlign w:val="center"/>
          </w:tcPr>
          <w:p w14:paraId="6597BEC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生产经营单位已按规定开展事故隐患排查治理，但未按规定上报事故隐患排查治理统计分析表。</w:t>
            </w:r>
          </w:p>
        </w:tc>
        <w:tc>
          <w:tcPr>
            <w:tcW w:w="5812" w:type="dxa"/>
            <w:noWrap w:val="0"/>
            <w:vAlign w:val="center"/>
          </w:tcPr>
          <w:p w14:paraId="0F1CB8E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安全生产事故隐患排查治理暂行规定》第二十六条第（二）项：生产经营单位违反本规定，有下列行为之一的，由安全监管监察部门给予警告，并处三万元以下的罚款：（二）未按规定上报事故隐患排查治理统计分析表的。</w:t>
            </w:r>
          </w:p>
        </w:tc>
        <w:tc>
          <w:tcPr>
            <w:tcW w:w="2017" w:type="dxa"/>
            <w:noWrap w:val="0"/>
            <w:vAlign w:val="center"/>
          </w:tcPr>
          <w:p w14:paraId="5EC2FFB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75D6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2958F8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noWrap w:val="0"/>
            <w:vAlign w:val="center"/>
          </w:tcPr>
          <w:p w14:paraId="3664D23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生产经营单位未采取措施消除一般事故隐患。</w:t>
            </w:r>
          </w:p>
        </w:tc>
        <w:tc>
          <w:tcPr>
            <w:tcW w:w="2693" w:type="dxa"/>
            <w:noWrap w:val="0"/>
            <w:vAlign w:val="center"/>
          </w:tcPr>
          <w:p w14:paraId="68FF568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生产经营单位存在一般事故隐患，正在依法采取措施进行整改的。</w:t>
            </w:r>
          </w:p>
        </w:tc>
        <w:tc>
          <w:tcPr>
            <w:tcW w:w="5812" w:type="dxa"/>
            <w:noWrap w:val="0"/>
            <w:vAlign w:val="center"/>
          </w:tcPr>
          <w:p w14:paraId="1251681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c>
          <w:tcPr>
            <w:tcW w:w="2017" w:type="dxa"/>
            <w:noWrap w:val="0"/>
            <w:vAlign w:val="center"/>
          </w:tcPr>
          <w:p w14:paraId="39E5982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3EB0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32" w:type="dxa"/>
            <w:noWrap w:val="0"/>
            <w:vAlign w:val="center"/>
          </w:tcPr>
          <w:p w14:paraId="0CDE488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noWrap w:val="0"/>
            <w:vAlign w:val="center"/>
          </w:tcPr>
          <w:p w14:paraId="68E2295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生产经营单位在应急预案编制前未按照规定开展风险辨识、评估和应急资源调查。</w:t>
            </w:r>
          </w:p>
        </w:tc>
        <w:tc>
          <w:tcPr>
            <w:tcW w:w="2693" w:type="dxa"/>
            <w:noWrap w:val="0"/>
            <w:vAlign w:val="center"/>
          </w:tcPr>
          <w:p w14:paraId="657EAB5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从业人员人数20人以下的生产经营单位，在应急预案编制前未按照规定开展风险辨识、评估和应急资源调查。</w:t>
            </w:r>
          </w:p>
        </w:tc>
        <w:tc>
          <w:tcPr>
            <w:tcW w:w="5812" w:type="dxa"/>
            <w:noWrap w:val="0"/>
            <w:vAlign w:val="center"/>
          </w:tcPr>
          <w:p w14:paraId="29910D0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安全事故应急预案管理办法》第四十五条第（一）项：生产经营单位有下列情形之一的，由县级以上人民政府应急管理部门责令限期改正，可以处1万元以上3万元以下罚款：（一）在应急预案编制前未按照规定开展风险辨识、评估和应急资源调查的。</w:t>
            </w:r>
          </w:p>
          <w:p w14:paraId="131CC77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017" w:type="dxa"/>
            <w:noWrap w:val="0"/>
            <w:vAlign w:val="center"/>
          </w:tcPr>
          <w:p w14:paraId="40FA531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3819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16E077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10.</w:t>
            </w:r>
          </w:p>
        </w:tc>
        <w:tc>
          <w:tcPr>
            <w:tcW w:w="3112" w:type="dxa"/>
            <w:noWrap w:val="0"/>
            <w:vAlign w:val="center"/>
          </w:tcPr>
          <w:p w14:paraId="716B244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生产经营单位未按照规定开展应急预案评估。</w:t>
            </w:r>
          </w:p>
          <w:p w14:paraId="3880D84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693" w:type="dxa"/>
            <w:noWrap w:val="0"/>
            <w:vAlign w:val="center"/>
          </w:tcPr>
          <w:p w14:paraId="51AD284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从业人员人数20人以下的生产经营单位，未按规定评估应急预案。</w:t>
            </w:r>
          </w:p>
        </w:tc>
        <w:tc>
          <w:tcPr>
            <w:tcW w:w="5812" w:type="dxa"/>
            <w:noWrap w:val="0"/>
            <w:vAlign w:val="center"/>
          </w:tcPr>
          <w:p w14:paraId="0424B67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安全事故应急预案管理办法》第四十五条第（四）项：生产经营单位有下列情形之一的，由县级以上人民政府应急管理部门责令限期改正，可以处1万元以上3万元以下罚款：（四）未按照规定开展应急预案评估的。</w:t>
            </w:r>
          </w:p>
        </w:tc>
        <w:tc>
          <w:tcPr>
            <w:tcW w:w="2017" w:type="dxa"/>
            <w:noWrap w:val="0"/>
            <w:vAlign w:val="center"/>
          </w:tcPr>
          <w:p w14:paraId="43E39D5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14345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86985C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11</w:t>
            </w:r>
          </w:p>
        </w:tc>
        <w:tc>
          <w:tcPr>
            <w:tcW w:w="3112" w:type="dxa"/>
            <w:noWrap w:val="0"/>
            <w:vAlign w:val="center"/>
          </w:tcPr>
          <w:p w14:paraId="7F42C65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生产经营单位未按照规定进行应急预案修订。</w:t>
            </w:r>
          </w:p>
        </w:tc>
        <w:tc>
          <w:tcPr>
            <w:tcW w:w="2693" w:type="dxa"/>
            <w:noWrap w:val="0"/>
            <w:vAlign w:val="center"/>
          </w:tcPr>
          <w:p w14:paraId="4F2B570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从业人员人数20人以下的生产经营单位，未按规定修订应急预案。</w:t>
            </w:r>
          </w:p>
        </w:tc>
        <w:tc>
          <w:tcPr>
            <w:tcW w:w="5812" w:type="dxa"/>
            <w:noWrap w:val="0"/>
            <w:vAlign w:val="center"/>
          </w:tcPr>
          <w:p w14:paraId="2A12A6F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安全事故应急预案管理办法》第四十五条第（五）项：生产经营单位有下列情形之一的，由县级以上人民政府应急管理部门责令限期改正，可以处1万元以上3万元以下罚款：（五）未按照规定进行应急预案修订的。</w:t>
            </w:r>
          </w:p>
        </w:tc>
        <w:tc>
          <w:tcPr>
            <w:tcW w:w="2017" w:type="dxa"/>
            <w:noWrap w:val="0"/>
            <w:vAlign w:val="center"/>
          </w:tcPr>
          <w:p w14:paraId="7123B8B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70E7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DEC9EB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12</w:t>
            </w:r>
          </w:p>
        </w:tc>
        <w:tc>
          <w:tcPr>
            <w:tcW w:w="3112" w:type="dxa"/>
            <w:noWrap w:val="0"/>
            <w:vAlign w:val="center"/>
          </w:tcPr>
          <w:p w14:paraId="09CA437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生产经营单位未落实应急预案规定的应急物资及装备。</w:t>
            </w:r>
          </w:p>
        </w:tc>
        <w:tc>
          <w:tcPr>
            <w:tcW w:w="2693" w:type="dxa"/>
            <w:noWrap w:val="0"/>
            <w:vAlign w:val="center"/>
          </w:tcPr>
          <w:p w14:paraId="32711BF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从业人员人数20人以下的生产经营单位，未落实应急预案规定的应急物资及装备。</w:t>
            </w:r>
          </w:p>
        </w:tc>
        <w:tc>
          <w:tcPr>
            <w:tcW w:w="5812" w:type="dxa"/>
            <w:noWrap w:val="0"/>
            <w:vAlign w:val="center"/>
          </w:tcPr>
          <w:p w14:paraId="1F08B02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生产安全事故应急预案管理办法》第四十五条第（六）项：生产经营单位有下列情形之一的，由县级以上人民政府应急管理部门责令限期改正，可以处1万元以上3万元以下罚款：（六）未落实应急预案规定的应急物资及装备的。</w:t>
            </w:r>
          </w:p>
        </w:tc>
        <w:tc>
          <w:tcPr>
            <w:tcW w:w="2017" w:type="dxa"/>
            <w:noWrap w:val="0"/>
            <w:vAlign w:val="center"/>
          </w:tcPr>
          <w:p w14:paraId="6027845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4D5D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E0AE62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13</w:t>
            </w:r>
          </w:p>
        </w:tc>
        <w:tc>
          <w:tcPr>
            <w:tcW w:w="3112" w:type="dxa"/>
            <w:noWrap w:val="0"/>
            <w:vAlign w:val="center"/>
          </w:tcPr>
          <w:p w14:paraId="0C5F6C7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工业企业未建立安全风险档案。</w:t>
            </w:r>
          </w:p>
        </w:tc>
        <w:tc>
          <w:tcPr>
            <w:tcW w:w="2693" w:type="dxa"/>
            <w:noWrap w:val="0"/>
            <w:vAlign w:val="center"/>
          </w:tcPr>
          <w:p w14:paraId="0FD0897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从业人员人数20人以下的生产经营单位，无较大以上安全风险。</w:t>
            </w:r>
          </w:p>
        </w:tc>
        <w:tc>
          <w:tcPr>
            <w:tcW w:w="5812" w:type="dxa"/>
            <w:noWrap w:val="0"/>
            <w:vAlign w:val="center"/>
          </w:tcPr>
          <w:p w14:paraId="0230319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江苏省工业企业安全生产风险报告规定》第三十四条第（五）项：企业违反本规定有下列情形之一的，由负有安全生产监督管理职责的部门责令限期改正，可以处五万元以下的罚款：（五）未建立安全风险档案的。</w:t>
            </w:r>
          </w:p>
        </w:tc>
        <w:tc>
          <w:tcPr>
            <w:tcW w:w="2017" w:type="dxa"/>
            <w:noWrap w:val="0"/>
            <w:vAlign w:val="center"/>
          </w:tcPr>
          <w:p w14:paraId="753B29F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各级具有相应行政处罚权的应急管理执法主体</w:t>
            </w:r>
          </w:p>
        </w:tc>
      </w:tr>
      <w:tr w14:paraId="25DEA6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81" w:hRule="atLeast"/>
        </w:trPr>
        <w:tc>
          <w:tcPr>
            <w:tcW w:w="432" w:type="dxa"/>
            <w:noWrap w:val="0"/>
            <w:vAlign w:val="center"/>
          </w:tcPr>
          <w:p w14:paraId="1F3210F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shd w:val="clear" w:color="auto" w:fill="auto"/>
            <w:noWrap w:val="0"/>
            <w:vAlign w:val="center"/>
          </w:tcPr>
          <w:p w14:paraId="442C0112">
            <w:pP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未经设立登记从事一般经营活动的</w:t>
            </w:r>
          </w:p>
        </w:tc>
        <w:tc>
          <w:tcPr>
            <w:tcW w:w="2693" w:type="dxa"/>
            <w:shd w:val="clear" w:color="auto" w:fill="auto"/>
            <w:noWrap w:val="0"/>
            <w:vAlign w:val="center"/>
          </w:tcPr>
          <w:p w14:paraId="2830DFDE">
            <w:pPr>
              <w:rPr>
                <w:rFonts w:hint="eastAsia"/>
                <w:color w:val="000000"/>
                <w:spacing w:val="-4"/>
                <w:kern w:val="0"/>
                <w:szCs w:val="21"/>
              </w:rPr>
            </w:pPr>
            <w:r>
              <w:rPr>
                <w:rFonts w:hint="eastAsia"/>
                <w:color w:val="000000"/>
                <w:spacing w:val="-4"/>
                <w:kern w:val="0"/>
                <w:szCs w:val="21"/>
              </w:rPr>
              <w:t>同时具备以下条件：</w:t>
            </w:r>
          </w:p>
          <w:p w14:paraId="18F9CF86">
            <w:pPr>
              <w:rPr>
                <w:rFonts w:hint="eastAsia"/>
                <w:color w:val="000000"/>
                <w:spacing w:val="-4"/>
                <w:kern w:val="0"/>
                <w:szCs w:val="21"/>
              </w:rPr>
            </w:pPr>
            <w:r>
              <w:rPr>
                <w:rFonts w:hint="eastAsia"/>
                <w:color w:val="000000"/>
                <w:spacing w:val="-4"/>
                <w:kern w:val="0"/>
                <w:szCs w:val="21"/>
              </w:rPr>
              <w:t>1.从事经营活动时间较短； 2及时改正；</w:t>
            </w:r>
          </w:p>
          <w:p w14:paraId="6D5EE9F2">
            <w:pP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3.未造成危害后果。</w:t>
            </w:r>
          </w:p>
        </w:tc>
        <w:tc>
          <w:tcPr>
            <w:tcW w:w="5812" w:type="dxa"/>
            <w:shd w:val="clear" w:color="auto" w:fill="auto"/>
            <w:noWrap w:val="0"/>
            <w:vAlign w:val="center"/>
          </w:tcPr>
          <w:p w14:paraId="014F491C">
            <w:pPr>
              <w:rPr>
                <w:color w:val="000000"/>
                <w:spacing w:val="-4"/>
                <w:kern w:val="0"/>
                <w:szCs w:val="21"/>
              </w:rPr>
            </w:pPr>
            <w:r>
              <w:rPr>
                <w:color w:val="000000"/>
                <w:spacing w:val="-4"/>
                <w:kern w:val="0"/>
                <w:szCs w:val="21"/>
              </w:rPr>
              <w:t>《市场主体登记管理条例》第三条  市场主体应当依照本条例办理登记。未经登记，不得以市场主体名义从事经营活动。法律、行政法规规定无需办理登记的除外。</w:t>
            </w:r>
          </w:p>
          <w:p w14:paraId="2B2AADD2">
            <w:pPr>
              <w:ind w:firstLine="404" w:firstLineChars="200"/>
              <w:rPr>
                <w:rFonts w:hint="eastAsia" w:asciiTheme="minorHAnsi" w:hAnsiTheme="minorHAnsi" w:eastAsiaTheme="minorEastAsia" w:cstheme="minorBidi"/>
                <w:color w:val="000000"/>
                <w:spacing w:val="-4"/>
                <w:kern w:val="0"/>
                <w:sz w:val="21"/>
                <w:szCs w:val="21"/>
                <w:lang w:val="en-US" w:eastAsia="zh-CN" w:bidi="ar-SA"/>
              </w:rPr>
            </w:pPr>
            <w:r>
              <w:rPr>
                <w:color w:val="000000"/>
                <w:spacing w:val="-4"/>
                <w:kern w:val="0"/>
                <w:szCs w:val="21"/>
              </w:rPr>
              <w:t>第四十三条　未经设立登记从事经营活动的，由登记机关责令改正，没收违法所得；拒不改正的，处1万元以上10万元以下的罚款；情节严重的，依法责令关闭停业，并处10万元以上50万元以下的罚款。</w:t>
            </w:r>
          </w:p>
        </w:tc>
        <w:tc>
          <w:tcPr>
            <w:tcW w:w="2017" w:type="dxa"/>
            <w:shd w:val="clear" w:color="auto" w:fill="auto"/>
            <w:noWrap w:val="0"/>
            <w:vAlign w:val="center"/>
          </w:tcPr>
          <w:p w14:paraId="27DDBAF6">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65A3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noWrap w:val="0"/>
            <w:vAlign w:val="center"/>
          </w:tcPr>
          <w:p w14:paraId="5817786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shd w:val="clear" w:color="auto" w:fill="auto"/>
            <w:noWrap w:val="0"/>
            <w:vAlign w:val="center"/>
          </w:tcPr>
          <w:p w14:paraId="5A28CB76">
            <w:pPr>
              <w:overflowPunct w:val="0"/>
              <w:adjustRightInd w:val="0"/>
              <w:snapToGrid w:val="0"/>
              <w:spacing w:line="340" w:lineRule="exac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违反《</w:t>
            </w:r>
            <w:r>
              <w:rPr>
                <w:color w:val="000000"/>
                <w:spacing w:val="-4"/>
                <w:kern w:val="0"/>
                <w:szCs w:val="21"/>
              </w:rPr>
              <w:t>市场主体登记管理条例》第</w:t>
            </w:r>
            <w:r>
              <w:rPr>
                <w:rFonts w:hint="eastAsia"/>
                <w:color w:val="000000"/>
                <w:spacing w:val="-4"/>
                <w:kern w:val="0"/>
                <w:szCs w:val="21"/>
              </w:rPr>
              <w:t>二十四</w:t>
            </w:r>
            <w:r>
              <w:rPr>
                <w:color w:val="000000"/>
                <w:spacing w:val="-4"/>
                <w:kern w:val="0"/>
                <w:szCs w:val="21"/>
              </w:rPr>
              <w:t>条、</w:t>
            </w:r>
            <w:r>
              <w:rPr>
                <w:rFonts w:hint="eastAsia"/>
                <w:color w:val="000000"/>
                <w:spacing w:val="-4"/>
                <w:kern w:val="0"/>
                <w:szCs w:val="21"/>
              </w:rPr>
              <w:t>《公司法》第三十四条第一款、《合伙企业法》第十三条、《个人独资企业法》第十五条等相关规定，登记事项发生变更时，未依法办理有关变更登记</w:t>
            </w:r>
          </w:p>
        </w:tc>
        <w:tc>
          <w:tcPr>
            <w:tcW w:w="2693" w:type="dxa"/>
            <w:shd w:val="clear" w:color="auto" w:fill="auto"/>
            <w:noWrap w:val="0"/>
            <w:vAlign w:val="center"/>
          </w:tcPr>
          <w:p w14:paraId="662611FE">
            <w:pPr>
              <w:overflowPunct w:val="0"/>
              <w:adjustRightInd w:val="0"/>
              <w:snapToGrid w:val="0"/>
              <w:spacing w:line="340" w:lineRule="exact"/>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责令限期登记后及时登记的</w:t>
            </w:r>
          </w:p>
        </w:tc>
        <w:tc>
          <w:tcPr>
            <w:tcW w:w="5812" w:type="dxa"/>
            <w:shd w:val="clear" w:color="auto" w:fill="auto"/>
            <w:noWrap w:val="0"/>
            <w:vAlign w:val="center"/>
          </w:tcPr>
          <w:p w14:paraId="53BFBD36">
            <w:pPr>
              <w:overflowPunct w:val="0"/>
              <w:adjustRightInd w:val="0"/>
              <w:snapToGrid w:val="0"/>
              <w:spacing w:line="340" w:lineRule="exact"/>
              <w:jc w:val="left"/>
              <w:rPr>
                <w:color w:val="000000"/>
                <w:spacing w:val="-4"/>
                <w:kern w:val="0"/>
                <w:szCs w:val="21"/>
              </w:rPr>
            </w:pPr>
            <w:r>
              <w:rPr>
                <w:rFonts w:hint="eastAsia"/>
                <w:color w:val="000000"/>
                <w:spacing w:val="-4"/>
                <w:kern w:val="0"/>
                <w:szCs w:val="21"/>
              </w:rPr>
              <w:t>《</w:t>
            </w:r>
            <w:r>
              <w:rPr>
                <w:color w:val="000000"/>
                <w:spacing w:val="-4"/>
                <w:kern w:val="0"/>
                <w:szCs w:val="21"/>
              </w:rPr>
              <w:t>市场主体登记管理条例》第二十四条　市场主体变更登记事项，应当自作出变更决议、决定或者法定变更事项发生之日起30日内向登记机关申请变更登记。</w:t>
            </w:r>
          </w:p>
          <w:p w14:paraId="364DD8E1">
            <w:pPr>
              <w:overflowPunct w:val="0"/>
              <w:adjustRightInd w:val="0"/>
              <w:snapToGrid w:val="0"/>
              <w:spacing w:line="340" w:lineRule="exact"/>
              <w:ind w:firstLine="404" w:firstLineChars="200"/>
              <w:jc w:val="left"/>
              <w:rPr>
                <w:rFonts w:hint="eastAsia"/>
                <w:color w:val="000000"/>
                <w:spacing w:val="-4"/>
                <w:kern w:val="0"/>
                <w:szCs w:val="21"/>
              </w:rPr>
            </w:pPr>
            <w:r>
              <w:rPr>
                <w:color w:val="000000"/>
                <w:spacing w:val="-4"/>
                <w:kern w:val="0"/>
                <w:szCs w:val="21"/>
              </w:rPr>
              <w:t>第四十六条　市场主体未依照本条例办理变更登记的，由登记机关责令改正；拒不改正的，处1万元以上10万元以下的罚款；情节严重的，吊销营业执照。</w:t>
            </w:r>
          </w:p>
          <w:p w14:paraId="574DEF18">
            <w:pPr>
              <w:widowControl/>
              <w:shd w:val="clear" w:color="auto" w:fill="FFFFFF"/>
              <w:spacing w:line="180" w:lineRule="atLeast"/>
              <w:jc w:val="left"/>
              <w:rPr>
                <w:rFonts w:hint="eastAsia"/>
                <w:color w:val="000000"/>
                <w:spacing w:val="-4"/>
                <w:kern w:val="0"/>
                <w:szCs w:val="21"/>
              </w:rPr>
            </w:pPr>
            <w:r>
              <w:rPr>
                <w:rFonts w:hint="eastAsia"/>
                <w:color w:val="000000"/>
                <w:spacing w:val="-4"/>
                <w:kern w:val="0"/>
                <w:szCs w:val="21"/>
              </w:rPr>
              <w:t>《公司法》</w:t>
            </w:r>
            <w:r>
              <w:rPr>
                <w:rFonts w:hint="eastAsia" w:ascii="宋体" w:hAnsi="宋体" w:cs="宋体"/>
                <w:kern w:val="0"/>
                <w:szCs w:val="21"/>
                <w:shd w:val="clear" w:color="auto" w:fill="FFFFFF"/>
                <w:lang w:bidi="ar"/>
              </w:rPr>
              <w:t>第三十四条第一款　公司登记事项发生变更的，应当依法办理变更登记。</w:t>
            </w:r>
          </w:p>
          <w:p w14:paraId="17D9E16E">
            <w:pPr>
              <w:overflowPunct w:val="0"/>
              <w:adjustRightInd w:val="0"/>
              <w:snapToGrid w:val="0"/>
              <w:spacing w:line="340" w:lineRule="exact"/>
              <w:ind w:firstLine="404" w:firstLineChars="200"/>
              <w:jc w:val="left"/>
              <w:rPr>
                <w:rFonts w:hint="eastAsia"/>
                <w:color w:val="000000"/>
                <w:spacing w:val="-4"/>
                <w:kern w:val="0"/>
                <w:szCs w:val="21"/>
              </w:rPr>
            </w:pPr>
            <w:r>
              <w:rPr>
                <w:rFonts w:hint="eastAsia"/>
                <w:color w:val="000000"/>
                <w:spacing w:val="-4"/>
                <w:kern w:val="0"/>
                <w:szCs w:val="21"/>
              </w:rPr>
              <w:t>第二百六十条第二款，公司登记事项发生变更时，未依照本法规定办理有关变更登记的，由公司登记机关责令限期登记；逾期不登记的，处以一万元以上十万元以下的罚款。</w:t>
            </w:r>
          </w:p>
          <w:p w14:paraId="78B79AE0">
            <w:pPr>
              <w:overflowPunct w:val="0"/>
              <w:adjustRightInd w:val="0"/>
              <w:snapToGrid w:val="0"/>
              <w:spacing w:line="340" w:lineRule="exact"/>
              <w:jc w:val="left"/>
              <w:rPr>
                <w:rFonts w:hint="eastAsia"/>
                <w:color w:val="000000"/>
                <w:spacing w:val="-4"/>
                <w:kern w:val="0"/>
                <w:szCs w:val="21"/>
              </w:rPr>
            </w:pPr>
            <w:r>
              <w:rPr>
                <w:rFonts w:hint="eastAsia"/>
                <w:color w:val="000000"/>
                <w:spacing w:val="-4"/>
                <w:kern w:val="0"/>
                <w:szCs w:val="21"/>
              </w:rPr>
              <w:t>《合伙企业法》第十三条 合伙企业登记事项发生变更的，执行合伙事务的合伙人应当自作出变更决定或者发生变更事由之日起十五日内，向企业登记机关申请办理变更登记。第九十五条第二款，合伙企业登记事项发生变更时，未依照本法规定办理变更登记的，由企业登记机关责令限期登记；逾期不登记的，处以二千元以上二万元以下的罚款。</w:t>
            </w:r>
          </w:p>
          <w:p w14:paraId="6842298C">
            <w:pPr>
              <w:overflowPunct w:val="0"/>
              <w:adjustRightInd w:val="0"/>
              <w:snapToGrid w:val="0"/>
              <w:spacing w:line="340" w:lineRule="exact"/>
              <w:jc w:val="left"/>
              <w:rPr>
                <w:rFonts w:hint="eastAsia"/>
                <w:color w:val="000000"/>
                <w:spacing w:val="-4"/>
                <w:kern w:val="0"/>
                <w:szCs w:val="21"/>
              </w:rPr>
            </w:pPr>
            <w:r>
              <w:rPr>
                <w:rFonts w:hint="eastAsia"/>
                <w:color w:val="000000"/>
                <w:spacing w:val="-4"/>
                <w:kern w:val="0"/>
                <w:szCs w:val="21"/>
              </w:rPr>
              <w:t>《个人独资企业法》第十五条 个人独资企业存续期间登记事项发生变更的，应当在作出变更决定之日起的十五日内依法向登记机关申请办理变更登记。</w:t>
            </w:r>
          </w:p>
          <w:p w14:paraId="76F7C0F5">
            <w:pPr>
              <w:overflowPunct w:val="0"/>
              <w:adjustRightInd w:val="0"/>
              <w:snapToGrid w:val="0"/>
              <w:spacing w:line="340" w:lineRule="exact"/>
              <w:ind w:firstLine="404" w:firstLineChars="20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第三十七条第二款  个人独资企业登记事项发生变更时，未按本法规定办理有关变更登记的，责令限期办理变更登记；逾期不办理的，处以二千元以下的罚款。</w:t>
            </w:r>
          </w:p>
        </w:tc>
        <w:tc>
          <w:tcPr>
            <w:tcW w:w="2017" w:type="dxa"/>
            <w:shd w:val="clear" w:color="auto" w:fill="auto"/>
            <w:noWrap w:val="0"/>
            <w:vAlign w:val="center"/>
          </w:tcPr>
          <w:p w14:paraId="7E551BAD">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105BA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78" w:hRule="atLeast"/>
        </w:trPr>
        <w:tc>
          <w:tcPr>
            <w:tcW w:w="432" w:type="dxa"/>
            <w:noWrap w:val="0"/>
            <w:vAlign w:val="center"/>
          </w:tcPr>
          <w:p w14:paraId="748D3C6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shd w:val="clear" w:color="auto" w:fill="auto"/>
            <w:noWrap w:val="0"/>
            <w:vAlign w:val="center"/>
          </w:tcPr>
          <w:p w14:paraId="51B05E4D">
            <w:pPr>
              <w:overflowPunct w:val="0"/>
              <w:adjustRightInd w:val="0"/>
              <w:snapToGrid w:val="0"/>
              <w:spacing w:line="320" w:lineRule="exact"/>
              <w:textAlignment w:val="center"/>
              <w:rPr>
                <w:rFonts w:hint="eastAsia" w:asciiTheme="minorHAnsi" w:hAnsiTheme="minorHAnsi" w:eastAsiaTheme="minorEastAsia" w:cstheme="minorBidi"/>
                <w:color w:val="000000"/>
                <w:spacing w:val="-4"/>
                <w:kern w:val="0"/>
                <w:sz w:val="21"/>
                <w:szCs w:val="21"/>
                <w:lang w:val="en-US" w:eastAsia="zh-CN" w:bidi="ar-SA"/>
              </w:rPr>
            </w:pPr>
            <w:r>
              <w:rPr>
                <w:color w:val="000000"/>
                <w:spacing w:val="-4"/>
                <w:kern w:val="0"/>
                <w:szCs w:val="21"/>
              </w:rPr>
              <w:t>市场主体</w:t>
            </w:r>
            <w:r>
              <w:rPr>
                <w:rFonts w:hint="eastAsia"/>
                <w:color w:val="000000"/>
                <w:spacing w:val="-4"/>
                <w:kern w:val="0"/>
                <w:szCs w:val="21"/>
              </w:rPr>
              <w:t>未按照《市场主体登记管理条例》规定依法办理相关登记备案</w:t>
            </w:r>
          </w:p>
        </w:tc>
        <w:tc>
          <w:tcPr>
            <w:tcW w:w="2693" w:type="dxa"/>
            <w:shd w:val="clear" w:color="auto" w:fill="auto"/>
            <w:noWrap w:val="0"/>
            <w:vAlign w:val="center"/>
          </w:tcPr>
          <w:p w14:paraId="234E5C8B">
            <w:pPr>
              <w:overflowPunct w:val="0"/>
              <w:adjustRightInd w:val="0"/>
              <w:snapToGrid w:val="0"/>
              <w:spacing w:line="320" w:lineRule="exact"/>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责令限期办理后及时办理的</w:t>
            </w:r>
          </w:p>
        </w:tc>
        <w:tc>
          <w:tcPr>
            <w:tcW w:w="5812" w:type="dxa"/>
            <w:shd w:val="clear" w:color="auto" w:fill="auto"/>
            <w:noWrap w:val="0"/>
            <w:vAlign w:val="center"/>
          </w:tcPr>
          <w:p w14:paraId="27E78FA1">
            <w:pPr>
              <w:pStyle w:val="8"/>
              <w:widowControl/>
              <w:shd w:val="clear" w:color="auto" w:fill="FFFFFF"/>
              <w:spacing w:before="0" w:beforeAutospacing="0" w:after="0" w:afterAutospacing="0"/>
              <w:ind w:firstLine="420"/>
              <w:jc w:val="both"/>
              <w:rPr>
                <w:rFonts w:hint="eastAsia"/>
                <w:color w:val="000000"/>
                <w:spacing w:val="-4"/>
                <w:sz w:val="21"/>
                <w:szCs w:val="21"/>
              </w:rPr>
            </w:pPr>
            <w:r>
              <w:rPr>
                <w:color w:val="000000"/>
                <w:spacing w:val="-4"/>
                <w:sz w:val="21"/>
                <w:szCs w:val="21"/>
              </w:rPr>
              <w:t>《市场主体登记管理条例》</w:t>
            </w:r>
            <w:r>
              <w:rPr>
                <w:rFonts w:hint="eastAsia"/>
                <w:color w:val="000000"/>
                <w:spacing w:val="-4"/>
                <w:sz w:val="21"/>
                <w:szCs w:val="21"/>
              </w:rPr>
              <w:t>第九条　市场主体的下列事项应当向登记机关办理备案：</w:t>
            </w:r>
          </w:p>
          <w:p w14:paraId="5D56304A">
            <w:pPr>
              <w:pStyle w:val="8"/>
              <w:widowControl/>
              <w:shd w:val="clear" w:color="auto" w:fill="FFFFFF"/>
              <w:spacing w:before="0" w:beforeAutospacing="0" w:after="0" w:afterAutospacing="0"/>
              <w:ind w:firstLine="420"/>
              <w:jc w:val="both"/>
              <w:rPr>
                <w:rFonts w:hint="eastAsia"/>
                <w:color w:val="000000"/>
                <w:spacing w:val="-4"/>
                <w:sz w:val="21"/>
                <w:szCs w:val="21"/>
              </w:rPr>
            </w:pPr>
            <w:r>
              <w:rPr>
                <w:rFonts w:hint="eastAsia"/>
                <w:color w:val="000000"/>
                <w:spacing w:val="-4"/>
                <w:sz w:val="21"/>
                <w:szCs w:val="21"/>
              </w:rPr>
              <w:t>（一）章程或者合伙协议；</w:t>
            </w:r>
          </w:p>
          <w:p w14:paraId="7DA4D7DF">
            <w:pPr>
              <w:pStyle w:val="8"/>
              <w:widowControl/>
              <w:shd w:val="clear" w:color="auto" w:fill="FFFFFF"/>
              <w:spacing w:before="0" w:beforeAutospacing="0" w:after="0" w:afterAutospacing="0"/>
              <w:ind w:firstLine="420"/>
              <w:jc w:val="both"/>
              <w:rPr>
                <w:rFonts w:hint="eastAsia"/>
                <w:color w:val="000000"/>
                <w:spacing w:val="-4"/>
                <w:sz w:val="21"/>
                <w:szCs w:val="21"/>
              </w:rPr>
            </w:pPr>
            <w:r>
              <w:rPr>
                <w:rFonts w:hint="eastAsia"/>
                <w:color w:val="000000"/>
                <w:spacing w:val="-4"/>
                <w:sz w:val="21"/>
                <w:szCs w:val="21"/>
              </w:rPr>
              <w:t>（二）经营期限或者合伙期限；</w:t>
            </w:r>
          </w:p>
          <w:p w14:paraId="06D3196A">
            <w:pPr>
              <w:pStyle w:val="8"/>
              <w:widowControl/>
              <w:shd w:val="clear" w:color="auto" w:fill="FFFFFF"/>
              <w:spacing w:before="0" w:beforeAutospacing="0" w:after="0" w:afterAutospacing="0"/>
              <w:ind w:firstLine="420"/>
              <w:jc w:val="both"/>
              <w:rPr>
                <w:rFonts w:hint="eastAsia"/>
                <w:color w:val="000000"/>
                <w:spacing w:val="-4"/>
                <w:sz w:val="21"/>
                <w:szCs w:val="21"/>
              </w:rPr>
            </w:pPr>
            <w:r>
              <w:rPr>
                <w:rFonts w:hint="eastAsia"/>
                <w:color w:val="000000"/>
                <w:spacing w:val="-4"/>
                <w:sz w:val="21"/>
                <w:szCs w:val="21"/>
              </w:rPr>
              <w:t>（三）有限责任公司股东或者股份有限公司发起人认缴的出资数额，合伙企业合伙人认缴或者实际缴付的出资数额、缴付期限和出资方式；</w:t>
            </w:r>
          </w:p>
          <w:p w14:paraId="12B6CBA7">
            <w:pPr>
              <w:pStyle w:val="8"/>
              <w:widowControl/>
              <w:shd w:val="clear" w:color="auto" w:fill="FFFFFF"/>
              <w:spacing w:before="0" w:beforeAutospacing="0" w:after="0" w:afterAutospacing="0"/>
              <w:ind w:firstLine="420"/>
              <w:jc w:val="both"/>
              <w:rPr>
                <w:rFonts w:hint="eastAsia"/>
                <w:color w:val="000000"/>
                <w:spacing w:val="-4"/>
                <w:sz w:val="21"/>
                <w:szCs w:val="21"/>
              </w:rPr>
            </w:pPr>
            <w:r>
              <w:rPr>
                <w:rFonts w:hint="eastAsia"/>
                <w:color w:val="000000"/>
                <w:spacing w:val="-4"/>
                <w:sz w:val="21"/>
                <w:szCs w:val="21"/>
              </w:rPr>
              <w:t>（四）公司董事、监事、高级管理人员；</w:t>
            </w:r>
          </w:p>
          <w:p w14:paraId="112C305A">
            <w:pPr>
              <w:pStyle w:val="8"/>
              <w:widowControl/>
              <w:shd w:val="clear" w:color="auto" w:fill="FFFFFF"/>
              <w:spacing w:before="0" w:beforeAutospacing="0" w:after="0" w:afterAutospacing="0"/>
              <w:ind w:firstLine="420"/>
              <w:jc w:val="both"/>
              <w:rPr>
                <w:rFonts w:hint="eastAsia"/>
                <w:color w:val="000000"/>
                <w:spacing w:val="-4"/>
                <w:sz w:val="21"/>
                <w:szCs w:val="21"/>
              </w:rPr>
            </w:pPr>
            <w:r>
              <w:rPr>
                <w:rFonts w:hint="eastAsia"/>
                <w:color w:val="000000"/>
                <w:spacing w:val="-4"/>
                <w:sz w:val="21"/>
                <w:szCs w:val="21"/>
              </w:rPr>
              <w:t>（五）农民专业合作社（联合社）成员；</w:t>
            </w:r>
          </w:p>
          <w:p w14:paraId="05B65FCB">
            <w:pPr>
              <w:pStyle w:val="8"/>
              <w:widowControl/>
              <w:shd w:val="clear" w:color="auto" w:fill="FFFFFF"/>
              <w:spacing w:before="0" w:beforeAutospacing="0" w:after="0" w:afterAutospacing="0"/>
              <w:ind w:firstLine="420"/>
              <w:jc w:val="both"/>
              <w:rPr>
                <w:rFonts w:hint="eastAsia"/>
                <w:color w:val="000000"/>
                <w:spacing w:val="-4"/>
                <w:sz w:val="21"/>
                <w:szCs w:val="21"/>
              </w:rPr>
            </w:pPr>
            <w:r>
              <w:rPr>
                <w:rFonts w:hint="eastAsia"/>
                <w:color w:val="000000"/>
                <w:spacing w:val="-4"/>
                <w:sz w:val="21"/>
                <w:szCs w:val="21"/>
              </w:rPr>
              <w:t>（六）参加经营的个体工商户家庭成员姓名；</w:t>
            </w:r>
          </w:p>
          <w:p w14:paraId="43D41B8E">
            <w:pPr>
              <w:pStyle w:val="8"/>
              <w:widowControl/>
              <w:shd w:val="clear" w:color="auto" w:fill="FFFFFF"/>
              <w:spacing w:before="0" w:beforeAutospacing="0" w:after="0" w:afterAutospacing="0"/>
              <w:ind w:firstLine="420"/>
              <w:jc w:val="both"/>
              <w:rPr>
                <w:rFonts w:hint="eastAsia"/>
                <w:color w:val="000000"/>
                <w:spacing w:val="-4"/>
                <w:sz w:val="21"/>
                <w:szCs w:val="21"/>
              </w:rPr>
            </w:pPr>
            <w:r>
              <w:rPr>
                <w:rFonts w:hint="eastAsia"/>
                <w:color w:val="000000"/>
                <w:spacing w:val="-4"/>
                <w:sz w:val="21"/>
                <w:szCs w:val="21"/>
              </w:rPr>
              <w:t>（七）市场主体登记联络员、外商投资企业法律文件送达接受人；</w:t>
            </w:r>
          </w:p>
          <w:p w14:paraId="0F553056">
            <w:pPr>
              <w:pStyle w:val="8"/>
              <w:widowControl/>
              <w:shd w:val="clear" w:color="auto" w:fill="FFFFFF"/>
              <w:spacing w:before="0" w:beforeAutospacing="0" w:after="0" w:afterAutospacing="0"/>
              <w:ind w:firstLine="420"/>
              <w:jc w:val="both"/>
              <w:rPr>
                <w:rFonts w:hint="eastAsia"/>
                <w:color w:val="000000"/>
                <w:spacing w:val="-4"/>
                <w:sz w:val="21"/>
                <w:szCs w:val="21"/>
              </w:rPr>
            </w:pPr>
            <w:r>
              <w:rPr>
                <w:rFonts w:hint="eastAsia"/>
                <w:color w:val="000000"/>
                <w:spacing w:val="-4"/>
                <w:sz w:val="21"/>
                <w:szCs w:val="21"/>
              </w:rPr>
              <w:t>（八）公司、合伙企业等市场主体受益所有人相关信息；</w:t>
            </w:r>
          </w:p>
          <w:p w14:paraId="53CB39A3">
            <w:pPr>
              <w:pStyle w:val="8"/>
              <w:widowControl/>
              <w:shd w:val="clear" w:color="auto" w:fill="FFFFFF"/>
              <w:spacing w:before="0" w:beforeAutospacing="0" w:after="0" w:afterAutospacing="0"/>
              <w:ind w:firstLine="420"/>
              <w:jc w:val="both"/>
              <w:rPr>
                <w:rFonts w:hint="eastAsia"/>
                <w:color w:val="000000"/>
                <w:spacing w:val="-4"/>
                <w:sz w:val="21"/>
                <w:szCs w:val="21"/>
              </w:rPr>
            </w:pPr>
            <w:r>
              <w:rPr>
                <w:rFonts w:hint="eastAsia"/>
                <w:color w:val="000000"/>
                <w:spacing w:val="-4"/>
                <w:sz w:val="21"/>
                <w:szCs w:val="21"/>
              </w:rPr>
              <w:t>（九）法律、行政法规规定的其他事项。</w:t>
            </w:r>
          </w:p>
          <w:p w14:paraId="0803A5FC">
            <w:pPr>
              <w:overflowPunct w:val="0"/>
              <w:adjustRightInd w:val="0"/>
              <w:snapToGrid w:val="0"/>
              <w:spacing w:line="320" w:lineRule="exact"/>
              <w:ind w:firstLine="404" w:firstLineChars="200"/>
              <w:jc w:val="left"/>
              <w:rPr>
                <w:rFonts w:hint="eastAsia"/>
                <w:color w:val="000000"/>
                <w:spacing w:val="-4"/>
                <w:kern w:val="0"/>
                <w:szCs w:val="21"/>
              </w:rPr>
            </w:pPr>
            <w:r>
              <w:rPr>
                <w:rFonts w:hint="eastAsia"/>
                <w:color w:val="000000"/>
                <w:spacing w:val="-4"/>
                <w:kern w:val="0"/>
                <w:szCs w:val="21"/>
              </w:rPr>
              <w:t>第二十九条　市场主体变更本条例第九条规定的备案事项的，应当自作出变更决议、决定或者法定变更事项发生之日起30日内向登记机关办理备案。农民专业合作社（联合社）成员发生变更的，应当自本会计年度终了之日起90日内向登记机关办理备案。</w:t>
            </w:r>
          </w:p>
          <w:p w14:paraId="6A6949DA">
            <w:pPr>
              <w:ind w:firstLine="404" w:firstLineChars="200"/>
              <w:jc w:val="left"/>
              <w:rPr>
                <w:rFonts w:hint="eastAsia"/>
                <w:color w:val="000000"/>
                <w:spacing w:val="-4"/>
                <w:kern w:val="0"/>
                <w:szCs w:val="21"/>
              </w:rPr>
            </w:pPr>
            <w:r>
              <w:rPr>
                <w:rFonts w:hint="eastAsia"/>
                <w:color w:val="000000"/>
                <w:spacing w:val="-4"/>
                <w:kern w:val="0"/>
                <w:szCs w:val="21"/>
              </w:rPr>
              <w:t>第三十条第三款  市场主体应当在歇业前向登记机关办理备案。登记机关通过国家企业信用信息公示系统向社会公示歇业期限、法律文书送达地址等信息。</w:t>
            </w:r>
          </w:p>
          <w:p w14:paraId="71C7A161">
            <w:pPr>
              <w:overflowPunct w:val="0"/>
              <w:adjustRightInd w:val="0"/>
              <w:snapToGrid w:val="0"/>
              <w:spacing w:line="320" w:lineRule="exact"/>
              <w:ind w:firstLine="404" w:firstLineChars="200"/>
              <w:jc w:val="left"/>
              <w:rPr>
                <w:rFonts w:hint="eastAsia" w:asciiTheme="minorHAnsi" w:hAnsiTheme="minorHAnsi" w:eastAsiaTheme="minorEastAsia" w:cstheme="minorBidi"/>
                <w:color w:val="000000"/>
                <w:spacing w:val="-4"/>
                <w:kern w:val="0"/>
                <w:sz w:val="21"/>
                <w:szCs w:val="21"/>
                <w:lang w:val="en-US" w:eastAsia="zh-CN" w:bidi="ar-SA"/>
              </w:rPr>
            </w:pPr>
            <w:r>
              <w:rPr>
                <w:color w:val="000000"/>
                <w:spacing w:val="-4"/>
                <w:kern w:val="0"/>
                <w:szCs w:val="21"/>
              </w:rPr>
              <w:t>第四十七条　市场主体未依照本条例办理备案的，由登记机关责令改正；拒不改正的，处5万元以下的罚款。</w:t>
            </w:r>
          </w:p>
        </w:tc>
        <w:tc>
          <w:tcPr>
            <w:tcW w:w="2017" w:type="dxa"/>
            <w:shd w:val="clear" w:color="auto" w:fill="auto"/>
            <w:noWrap w:val="0"/>
            <w:vAlign w:val="center"/>
          </w:tcPr>
          <w:p w14:paraId="062F8441">
            <w:pPr>
              <w:overflowPunct w:val="0"/>
              <w:adjustRightInd w:val="0"/>
              <w:snapToGrid w:val="0"/>
              <w:spacing w:line="320" w:lineRule="exac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CA36E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91" w:hRule="atLeast"/>
        </w:trPr>
        <w:tc>
          <w:tcPr>
            <w:tcW w:w="432" w:type="dxa"/>
            <w:noWrap w:val="0"/>
            <w:vAlign w:val="center"/>
          </w:tcPr>
          <w:p w14:paraId="198E83D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shd w:val="clear" w:color="auto" w:fill="auto"/>
            <w:noWrap w:val="0"/>
            <w:vAlign w:val="center"/>
          </w:tcPr>
          <w:p w14:paraId="7F09B08E">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违反《外国企业常驻代表机构登记管理条例》第十四条规定，从事第十四条规定业务活动以外活动</w:t>
            </w:r>
          </w:p>
        </w:tc>
        <w:tc>
          <w:tcPr>
            <w:tcW w:w="2693" w:type="dxa"/>
            <w:shd w:val="clear" w:color="auto" w:fill="auto"/>
            <w:noWrap w:val="0"/>
            <w:vAlign w:val="center"/>
          </w:tcPr>
          <w:p w14:paraId="0561F61F">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责令限期改正后及时改正的</w:t>
            </w:r>
          </w:p>
        </w:tc>
        <w:tc>
          <w:tcPr>
            <w:tcW w:w="5812" w:type="dxa"/>
            <w:shd w:val="clear" w:color="auto" w:fill="auto"/>
            <w:noWrap w:val="0"/>
            <w:vAlign w:val="center"/>
          </w:tcPr>
          <w:p w14:paraId="084C35E9">
            <w:pPr>
              <w:overflowPunct w:val="0"/>
              <w:adjustRightInd w:val="0"/>
              <w:snapToGrid w:val="0"/>
              <w:jc w:val="left"/>
              <w:rPr>
                <w:rFonts w:hint="eastAsia"/>
                <w:color w:val="000000"/>
                <w:spacing w:val="-4"/>
                <w:kern w:val="0"/>
                <w:szCs w:val="21"/>
              </w:rPr>
            </w:pPr>
            <w:r>
              <w:rPr>
                <w:rFonts w:hint="eastAsia"/>
                <w:color w:val="000000"/>
                <w:spacing w:val="-4"/>
                <w:kern w:val="0"/>
                <w:szCs w:val="21"/>
              </w:rPr>
              <w:t>《外国企业常驻代表机构登记管理条例》第十四条　代表机构可以从事与外国企业业务有关的下列活动：（一）与外国企业产品或者服务有关的市场调查、展示、宣传活动；（二）与外国企业产品销售、服务提供、境内采购、境内投资有关的联络活动。</w:t>
            </w:r>
          </w:p>
          <w:p w14:paraId="5AAFA222">
            <w:pPr>
              <w:overflowPunct w:val="0"/>
              <w:adjustRightInd w:val="0"/>
              <w:snapToGrid w:val="0"/>
              <w:jc w:val="left"/>
              <w:rPr>
                <w:rFonts w:hint="eastAsia"/>
                <w:color w:val="000000"/>
                <w:spacing w:val="-4"/>
                <w:kern w:val="0"/>
                <w:szCs w:val="21"/>
              </w:rPr>
            </w:pPr>
            <w:r>
              <w:rPr>
                <w:rFonts w:hint="eastAsia"/>
                <w:color w:val="000000"/>
                <w:spacing w:val="-4"/>
                <w:kern w:val="0"/>
                <w:szCs w:val="21"/>
              </w:rPr>
              <w:t>法律、行政法规或者国务院规定代表机构从事前款规定的业务活动须经批准的，应当取得批准。</w:t>
            </w:r>
          </w:p>
          <w:p w14:paraId="5FFC5B01">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第三十七条 代表机构违反本条例第十四条规定从事业务活动以外活动的，由登记机关责令限期改正；逾期未改正的，处以1万元以上10万元以下的罚款；情节严重的，吊销登记证。</w:t>
            </w:r>
          </w:p>
        </w:tc>
        <w:tc>
          <w:tcPr>
            <w:tcW w:w="2017" w:type="dxa"/>
            <w:shd w:val="clear" w:color="auto" w:fill="auto"/>
            <w:noWrap w:val="0"/>
            <w:vAlign w:val="center"/>
          </w:tcPr>
          <w:p w14:paraId="49DA29EC">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94FF1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35" w:hRule="atLeast"/>
        </w:trPr>
        <w:tc>
          <w:tcPr>
            <w:tcW w:w="432" w:type="dxa"/>
            <w:noWrap w:val="0"/>
            <w:vAlign w:val="center"/>
          </w:tcPr>
          <w:p w14:paraId="0F36BF5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shd w:val="clear" w:color="auto" w:fill="auto"/>
            <w:noWrap w:val="0"/>
            <w:vAlign w:val="center"/>
          </w:tcPr>
          <w:p w14:paraId="5D59C568">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违反</w:t>
            </w:r>
            <w:r>
              <w:rPr>
                <w:color w:val="000000"/>
                <w:spacing w:val="-4"/>
                <w:kern w:val="0"/>
                <w:szCs w:val="21"/>
              </w:rPr>
              <w:t>《市场主体登记管理条例》第</w:t>
            </w:r>
            <w:r>
              <w:rPr>
                <w:rFonts w:hint="eastAsia"/>
                <w:color w:val="000000"/>
                <w:spacing w:val="-4"/>
                <w:kern w:val="0"/>
                <w:szCs w:val="21"/>
              </w:rPr>
              <w:t>三十六</w:t>
            </w:r>
            <w:r>
              <w:rPr>
                <w:color w:val="000000"/>
                <w:spacing w:val="-4"/>
                <w:kern w:val="0"/>
                <w:szCs w:val="21"/>
              </w:rPr>
              <w:t>条</w:t>
            </w:r>
            <w:r>
              <w:rPr>
                <w:rFonts w:hint="eastAsia"/>
                <w:color w:val="000000"/>
                <w:spacing w:val="-4"/>
                <w:kern w:val="0"/>
                <w:szCs w:val="21"/>
              </w:rPr>
              <w:t>规定，未将营业执照置于住所或者营业场所醒目位置或不按规定悬挂的</w:t>
            </w:r>
          </w:p>
        </w:tc>
        <w:tc>
          <w:tcPr>
            <w:tcW w:w="2693" w:type="dxa"/>
            <w:shd w:val="clear" w:color="auto" w:fill="auto"/>
            <w:noWrap w:val="0"/>
            <w:vAlign w:val="center"/>
          </w:tcPr>
          <w:p w14:paraId="519093B0">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责令限期改正后及时改正的</w:t>
            </w:r>
          </w:p>
        </w:tc>
        <w:tc>
          <w:tcPr>
            <w:tcW w:w="5812" w:type="dxa"/>
            <w:shd w:val="clear" w:color="auto" w:fill="auto"/>
            <w:noWrap w:val="0"/>
            <w:vAlign w:val="center"/>
          </w:tcPr>
          <w:p w14:paraId="3BBCB0BC">
            <w:pPr>
              <w:rPr>
                <w:rFonts w:hint="eastAsia"/>
                <w:color w:val="000000"/>
              </w:rPr>
            </w:pPr>
            <w:r>
              <w:rPr>
                <w:color w:val="000000"/>
                <w:spacing w:val="-4"/>
                <w:szCs w:val="21"/>
              </w:rPr>
              <w:t>《市场主体登记管理条例》</w:t>
            </w:r>
            <w:r>
              <w:rPr>
                <w:rFonts w:hint="eastAsia"/>
                <w:color w:val="000000"/>
                <w:shd w:val="clear" w:color="auto" w:fill="FFFFFF"/>
              </w:rPr>
              <w:t>第三十六条　市场主体应当将营业执照置于住所或者</w:t>
            </w:r>
            <w:r>
              <w:rPr>
                <w:rFonts w:hint="eastAsia"/>
                <w:color w:val="000000"/>
              </w:rPr>
              <w:t>主要经营场所的醒目位置。</w:t>
            </w:r>
          </w:p>
          <w:p w14:paraId="1A1A15E7">
            <w:pPr>
              <w:rPr>
                <w:rFonts w:hint="eastAsia" w:asciiTheme="minorHAnsi" w:hAnsiTheme="minorHAnsi" w:eastAsiaTheme="minorEastAsia" w:cstheme="minorBidi"/>
                <w:color w:val="000000"/>
                <w:spacing w:val="-4"/>
                <w:kern w:val="2"/>
                <w:sz w:val="21"/>
                <w:szCs w:val="21"/>
                <w:lang w:val="en-US" w:eastAsia="zh-CN" w:bidi="ar-SA"/>
              </w:rPr>
            </w:pPr>
            <w:r>
              <w:rPr>
                <w:color w:val="000000"/>
              </w:rPr>
              <w:t>第四十八条　市场主体未依照本条例将营业执照置于住所或者主要经营场所醒目位置的，由登记机关责令改正；拒不改正的，处3万元以下的罚款。</w:t>
            </w:r>
          </w:p>
        </w:tc>
        <w:tc>
          <w:tcPr>
            <w:tcW w:w="2017" w:type="dxa"/>
            <w:shd w:val="clear" w:color="auto" w:fill="auto"/>
            <w:noWrap w:val="0"/>
            <w:vAlign w:val="center"/>
          </w:tcPr>
          <w:p w14:paraId="299459BA">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305E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35" w:hRule="atLeast"/>
        </w:trPr>
        <w:tc>
          <w:tcPr>
            <w:tcW w:w="432" w:type="dxa"/>
            <w:noWrap w:val="0"/>
            <w:vAlign w:val="center"/>
          </w:tcPr>
          <w:p w14:paraId="204416D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shd w:val="clear" w:color="auto" w:fill="auto"/>
            <w:noWrap w:val="0"/>
            <w:vAlign w:val="center"/>
          </w:tcPr>
          <w:p w14:paraId="1B82C3A5">
            <w:pPr>
              <w:overflowPunct w:val="0"/>
              <w:adjustRightInd w:val="0"/>
              <w:snapToGrid w:val="0"/>
              <w:textAlignment w:val="center"/>
              <w:rPr>
                <w:color w:val="000000"/>
                <w:spacing w:val="-4"/>
                <w:kern w:val="0"/>
                <w:szCs w:val="21"/>
              </w:rPr>
            </w:pPr>
            <w:r>
              <w:rPr>
                <w:color w:val="000000"/>
                <w:spacing w:val="-4"/>
                <w:kern w:val="0"/>
                <w:szCs w:val="21"/>
              </w:rPr>
              <w:t xml:space="preserve">合伙企业未依照规 </w:t>
            </w:r>
          </w:p>
          <w:p w14:paraId="22073033">
            <w:pPr>
              <w:overflowPunct w:val="0"/>
              <w:adjustRightInd w:val="0"/>
              <w:snapToGrid w:val="0"/>
              <w:textAlignment w:val="center"/>
              <w:rPr>
                <w:color w:val="000000"/>
                <w:spacing w:val="-4"/>
                <w:kern w:val="0"/>
                <w:szCs w:val="21"/>
              </w:rPr>
            </w:pPr>
            <w:r>
              <w:rPr>
                <w:rFonts w:hint="eastAsia"/>
                <w:color w:val="000000"/>
                <w:spacing w:val="-4"/>
                <w:kern w:val="0"/>
                <w:szCs w:val="21"/>
              </w:rPr>
              <w:t xml:space="preserve">定在其名称中标明 </w:t>
            </w:r>
          </w:p>
          <w:p w14:paraId="7EEB7657">
            <w:pPr>
              <w:overflowPunct w:val="0"/>
              <w:adjustRightInd w:val="0"/>
              <w:snapToGrid w:val="0"/>
              <w:textAlignment w:val="center"/>
              <w:rPr>
                <w:color w:val="000000"/>
                <w:spacing w:val="-4"/>
                <w:kern w:val="0"/>
                <w:szCs w:val="21"/>
              </w:rPr>
            </w:pPr>
            <w:r>
              <w:rPr>
                <w:rFonts w:hint="eastAsia"/>
                <w:color w:val="000000"/>
                <w:spacing w:val="-4"/>
                <w:kern w:val="0"/>
                <w:szCs w:val="21"/>
              </w:rPr>
              <w:t xml:space="preserve">“普通合伙”、 </w:t>
            </w:r>
          </w:p>
          <w:p w14:paraId="1DBF9BF3">
            <w:pPr>
              <w:overflowPunct w:val="0"/>
              <w:adjustRightInd w:val="0"/>
              <w:snapToGrid w:val="0"/>
              <w:textAlignment w:val="center"/>
              <w:rPr>
                <w:color w:val="000000"/>
                <w:spacing w:val="-4"/>
                <w:kern w:val="0"/>
                <w:szCs w:val="21"/>
              </w:rPr>
            </w:pPr>
            <w:r>
              <w:rPr>
                <w:rFonts w:hint="eastAsia"/>
                <w:color w:val="000000"/>
                <w:spacing w:val="-4"/>
                <w:kern w:val="0"/>
                <w:szCs w:val="21"/>
              </w:rPr>
              <w:t xml:space="preserve">“特殊普通合伙” </w:t>
            </w:r>
          </w:p>
          <w:p w14:paraId="4D90486A">
            <w:pPr>
              <w:overflowPunct w:val="0"/>
              <w:adjustRightInd w:val="0"/>
              <w:snapToGrid w:val="0"/>
              <w:textAlignment w:val="center"/>
              <w:rPr>
                <w:color w:val="000000"/>
                <w:spacing w:val="-4"/>
                <w:kern w:val="0"/>
                <w:szCs w:val="21"/>
              </w:rPr>
            </w:pPr>
            <w:r>
              <w:rPr>
                <w:rFonts w:hint="eastAsia"/>
                <w:color w:val="000000"/>
                <w:spacing w:val="-4"/>
                <w:kern w:val="0"/>
                <w:szCs w:val="21"/>
              </w:rPr>
              <w:t xml:space="preserve">或者“有限合伙” </w:t>
            </w:r>
          </w:p>
          <w:p w14:paraId="53B4D2F6">
            <w:pPr>
              <w:overflowPunct w:val="0"/>
              <w:adjustRightInd w:val="0"/>
              <w:snapToGrid w:val="0"/>
              <w:textAlignment w:val="center"/>
              <w:rPr>
                <w:color w:val="000000"/>
                <w:spacing w:val="-4"/>
                <w:kern w:val="0"/>
                <w:szCs w:val="21"/>
              </w:rPr>
            </w:pPr>
            <w:r>
              <w:rPr>
                <w:rFonts w:hint="eastAsia"/>
                <w:color w:val="000000"/>
                <w:spacing w:val="-4"/>
                <w:kern w:val="0"/>
                <w:szCs w:val="21"/>
              </w:rPr>
              <w:t>字样</w:t>
            </w:r>
          </w:p>
          <w:p w14:paraId="14B7354C">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p>
        </w:tc>
        <w:tc>
          <w:tcPr>
            <w:tcW w:w="2693" w:type="dxa"/>
            <w:shd w:val="clear" w:color="auto" w:fill="auto"/>
            <w:noWrap w:val="0"/>
            <w:vAlign w:val="center"/>
          </w:tcPr>
          <w:p w14:paraId="7094B7E6">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同时具备以下条件：</w:t>
            </w:r>
          </w:p>
          <w:p w14:paraId="0FAD51F8">
            <w:pPr>
              <w:overflowPunct w:val="0"/>
              <w:adjustRightInd w:val="0"/>
              <w:snapToGrid w:val="0"/>
              <w:textAlignment w:val="center"/>
              <w:rPr>
                <w:rFonts w:hint="eastAsia"/>
                <w:color w:val="000000"/>
                <w:spacing w:val="-4"/>
                <w:kern w:val="0"/>
                <w:szCs w:val="21"/>
              </w:rPr>
            </w:pPr>
            <w:r>
              <w:rPr>
                <w:color w:val="000000"/>
                <w:spacing w:val="-4"/>
                <w:kern w:val="0"/>
                <w:szCs w:val="21"/>
              </w:rPr>
              <w:t xml:space="preserve">1.初次违法； </w:t>
            </w:r>
          </w:p>
          <w:p w14:paraId="739721CF">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2.及时改正；</w:t>
            </w:r>
          </w:p>
          <w:p w14:paraId="3AC341AE">
            <w:pPr>
              <w:overflowPunct w:val="0"/>
              <w:adjustRightInd w:val="0"/>
              <w:snapToGrid w:val="0"/>
              <w:textAlignment w:val="center"/>
              <w:rPr>
                <w:color w:val="000000"/>
                <w:spacing w:val="-4"/>
                <w:kern w:val="0"/>
                <w:szCs w:val="21"/>
              </w:rPr>
            </w:pPr>
            <w:r>
              <w:rPr>
                <w:rFonts w:hint="eastAsia"/>
                <w:color w:val="000000"/>
                <w:spacing w:val="-4"/>
                <w:kern w:val="0"/>
                <w:szCs w:val="21"/>
              </w:rPr>
              <w:t>3.没有造成危害后果或危害后果轻微。</w:t>
            </w:r>
          </w:p>
          <w:p w14:paraId="48EA67DA">
            <w:pPr>
              <w:overflowPunct w:val="0"/>
              <w:adjustRightInd w:val="0"/>
              <w:snapToGrid w:val="0"/>
              <w:textAlignment w:val="center"/>
              <w:rPr>
                <w:color w:val="000000"/>
                <w:spacing w:val="-4"/>
                <w:kern w:val="0"/>
                <w:szCs w:val="21"/>
              </w:rPr>
            </w:pPr>
          </w:p>
          <w:p w14:paraId="484D47D6">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p>
        </w:tc>
        <w:tc>
          <w:tcPr>
            <w:tcW w:w="5812" w:type="dxa"/>
            <w:shd w:val="clear" w:color="auto" w:fill="auto"/>
            <w:noWrap w:val="0"/>
            <w:vAlign w:val="center"/>
          </w:tcPr>
          <w:p w14:paraId="2A043FC8">
            <w:pPr>
              <w:overflowPunct w:val="0"/>
              <w:adjustRightInd w:val="0"/>
              <w:snapToGrid w:val="0"/>
              <w:textAlignment w:val="center"/>
              <w:rPr>
                <w:color w:val="000000"/>
                <w:spacing w:val="-4"/>
                <w:kern w:val="0"/>
                <w:szCs w:val="21"/>
              </w:rPr>
            </w:pPr>
            <w:r>
              <w:rPr>
                <w:color w:val="000000"/>
                <w:spacing w:val="-4"/>
                <w:kern w:val="0"/>
                <w:szCs w:val="21"/>
              </w:rPr>
              <w:t xml:space="preserve">《中华人民共和国合伙企业法》第九十四条 </w:t>
            </w:r>
            <w:r>
              <w:rPr>
                <w:rFonts w:hint="eastAsia"/>
                <w:color w:val="000000"/>
                <w:spacing w:val="-4"/>
                <w:kern w:val="0"/>
                <w:szCs w:val="21"/>
              </w:rPr>
              <w:t>违反本法规定，合伙企业未在其名称中标明“普通合伙”、“特殊普通合伙”或者“有限合伙”字样的，由企业登记机关责令限期改正，处以二千元以上一万元以下罚款。</w:t>
            </w:r>
          </w:p>
          <w:p w14:paraId="308E80AD">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p>
        </w:tc>
        <w:tc>
          <w:tcPr>
            <w:tcW w:w="2017" w:type="dxa"/>
            <w:shd w:val="clear" w:color="auto" w:fill="auto"/>
            <w:noWrap w:val="0"/>
            <w:vAlign w:val="center"/>
          </w:tcPr>
          <w:p w14:paraId="09D9ACA6">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0EDC66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35" w:hRule="atLeast"/>
        </w:trPr>
        <w:tc>
          <w:tcPr>
            <w:tcW w:w="432" w:type="dxa"/>
            <w:noWrap w:val="0"/>
            <w:vAlign w:val="center"/>
          </w:tcPr>
          <w:p w14:paraId="5929668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shd w:val="clear" w:color="auto" w:fill="auto"/>
            <w:noWrap w:val="0"/>
            <w:vAlign w:val="center"/>
          </w:tcPr>
          <w:p w14:paraId="0AB7D147">
            <w:pPr>
              <w:overflowPunct w:val="0"/>
              <w:adjustRightInd w:val="0"/>
              <w:snapToGrid w:val="0"/>
              <w:textAlignment w:val="center"/>
              <w:rPr>
                <w:color w:val="000000"/>
                <w:spacing w:val="-4"/>
                <w:kern w:val="0"/>
                <w:szCs w:val="21"/>
              </w:rPr>
            </w:pPr>
            <w:r>
              <w:rPr>
                <w:color w:val="000000"/>
                <w:spacing w:val="-4"/>
                <w:kern w:val="0"/>
                <w:szCs w:val="21"/>
              </w:rPr>
              <w:t xml:space="preserve">公司未依照规定公 </w:t>
            </w:r>
          </w:p>
          <w:p w14:paraId="07B71310">
            <w:pPr>
              <w:overflowPunct w:val="0"/>
              <w:adjustRightInd w:val="0"/>
              <w:snapToGrid w:val="0"/>
              <w:textAlignment w:val="center"/>
              <w:rPr>
                <w:color w:val="000000"/>
                <w:spacing w:val="-4"/>
                <w:kern w:val="0"/>
                <w:szCs w:val="21"/>
              </w:rPr>
            </w:pPr>
            <w:r>
              <w:rPr>
                <w:rFonts w:hint="eastAsia"/>
                <w:color w:val="000000"/>
                <w:spacing w:val="-4"/>
                <w:kern w:val="0"/>
                <w:szCs w:val="21"/>
              </w:rPr>
              <w:t xml:space="preserve">示有关信息或者不 </w:t>
            </w:r>
          </w:p>
          <w:p w14:paraId="58D4483F">
            <w:pPr>
              <w:overflowPunct w:val="0"/>
              <w:adjustRightInd w:val="0"/>
              <w:snapToGrid w:val="0"/>
              <w:textAlignment w:val="center"/>
              <w:rPr>
                <w:color w:val="000000"/>
                <w:spacing w:val="-4"/>
                <w:kern w:val="0"/>
                <w:szCs w:val="21"/>
              </w:rPr>
            </w:pPr>
            <w:r>
              <w:rPr>
                <w:rFonts w:hint="eastAsia"/>
                <w:color w:val="000000"/>
                <w:spacing w:val="-4"/>
                <w:kern w:val="0"/>
                <w:szCs w:val="21"/>
              </w:rPr>
              <w:t>如实公示有关信息</w:t>
            </w:r>
          </w:p>
          <w:p w14:paraId="3A4D5E79">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p>
        </w:tc>
        <w:tc>
          <w:tcPr>
            <w:tcW w:w="2693" w:type="dxa"/>
            <w:shd w:val="clear" w:color="auto" w:fill="auto"/>
            <w:noWrap w:val="0"/>
            <w:vAlign w:val="center"/>
          </w:tcPr>
          <w:p w14:paraId="00B90870">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同时具备以下条件：</w:t>
            </w:r>
          </w:p>
          <w:p w14:paraId="447F4DEC">
            <w:pPr>
              <w:overflowPunct w:val="0"/>
              <w:adjustRightInd w:val="0"/>
              <w:snapToGrid w:val="0"/>
              <w:textAlignment w:val="center"/>
              <w:rPr>
                <w:color w:val="000000"/>
                <w:spacing w:val="-4"/>
                <w:kern w:val="0"/>
                <w:szCs w:val="21"/>
              </w:rPr>
            </w:pPr>
            <w:r>
              <w:rPr>
                <w:color w:val="000000"/>
                <w:spacing w:val="-4"/>
                <w:kern w:val="0"/>
                <w:szCs w:val="21"/>
              </w:rPr>
              <w:t xml:space="preserve">1.初次违法； </w:t>
            </w:r>
          </w:p>
          <w:p w14:paraId="2BCB648E">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2.及时改正；</w:t>
            </w:r>
          </w:p>
          <w:p w14:paraId="2C255F7C">
            <w:pPr>
              <w:overflowPunct w:val="0"/>
              <w:adjustRightInd w:val="0"/>
              <w:snapToGrid w:val="0"/>
              <w:textAlignment w:val="center"/>
              <w:rPr>
                <w:color w:val="000000"/>
                <w:spacing w:val="-4"/>
                <w:kern w:val="0"/>
                <w:szCs w:val="21"/>
              </w:rPr>
            </w:pPr>
            <w:r>
              <w:rPr>
                <w:rFonts w:hint="eastAsia"/>
                <w:color w:val="000000"/>
                <w:spacing w:val="-4"/>
                <w:kern w:val="0"/>
                <w:szCs w:val="21"/>
              </w:rPr>
              <w:t>3.</w:t>
            </w:r>
            <w:r>
              <w:rPr>
                <w:color w:val="000000"/>
                <w:spacing w:val="-4"/>
                <w:kern w:val="0"/>
                <w:szCs w:val="21"/>
              </w:rPr>
              <w:t>没有</w:t>
            </w:r>
            <w:r>
              <w:rPr>
                <w:rFonts w:hint="eastAsia"/>
                <w:color w:val="000000"/>
                <w:spacing w:val="-4"/>
                <w:kern w:val="0"/>
                <w:szCs w:val="21"/>
              </w:rPr>
              <w:t>造成危害后果</w:t>
            </w:r>
            <w:r>
              <w:rPr>
                <w:color w:val="000000"/>
                <w:spacing w:val="-4"/>
                <w:kern w:val="0"/>
                <w:szCs w:val="21"/>
              </w:rPr>
              <w:t>或</w:t>
            </w:r>
            <w:r>
              <w:rPr>
                <w:rFonts w:hint="eastAsia"/>
                <w:color w:val="000000"/>
                <w:spacing w:val="-4"/>
                <w:kern w:val="0"/>
                <w:szCs w:val="21"/>
              </w:rPr>
              <w:t>危害后果轻微。</w:t>
            </w:r>
          </w:p>
          <w:p w14:paraId="375C82FD">
            <w:pPr>
              <w:overflowPunct w:val="0"/>
              <w:adjustRightInd w:val="0"/>
              <w:snapToGrid w:val="0"/>
              <w:textAlignment w:val="center"/>
              <w:rPr>
                <w:color w:val="000000"/>
                <w:spacing w:val="-4"/>
                <w:kern w:val="0"/>
                <w:szCs w:val="21"/>
              </w:rPr>
            </w:pPr>
          </w:p>
          <w:p w14:paraId="15F71CD0">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p>
        </w:tc>
        <w:tc>
          <w:tcPr>
            <w:tcW w:w="5812" w:type="dxa"/>
            <w:shd w:val="clear" w:color="auto" w:fill="auto"/>
            <w:noWrap w:val="0"/>
            <w:vAlign w:val="center"/>
          </w:tcPr>
          <w:p w14:paraId="4E4B09F6">
            <w:pPr>
              <w:overflowPunct w:val="0"/>
              <w:adjustRightInd w:val="0"/>
              <w:snapToGrid w:val="0"/>
              <w:textAlignment w:val="center"/>
              <w:rPr>
                <w:color w:val="000000"/>
                <w:spacing w:val="-4"/>
                <w:kern w:val="0"/>
                <w:szCs w:val="21"/>
              </w:rPr>
            </w:pPr>
            <w:r>
              <w:rPr>
                <w:color w:val="000000"/>
                <w:spacing w:val="-4"/>
                <w:kern w:val="0"/>
                <w:szCs w:val="21"/>
              </w:rPr>
              <w:t xml:space="preserve">《中华人民共和国公司法》第二百五十一条 </w:t>
            </w:r>
            <w:r>
              <w:rPr>
                <w:rFonts w:hint="eastAsia"/>
                <w:color w:val="000000"/>
                <w:spacing w:val="-4"/>
                <w:kern w:val="0"/>
                <w:szCs w:val="21"/>
              </w:rPr>
              <w:t xml:space="preserve">公司未依照本法第四十条规定公示有关信息或者不如实公示有关信息的，由公司登记机关责令改正，可以处以一万元以上五万元以下的罚款。情节严重的，处以五万元以上二十万元以下的罚款；对直接负责的主管人员和其他直接责任人员处以一万元以上十万元以下的罚款。 </w:t>
            </w:r>
          </w:p>
          <w:p w14:paraId="6576B625">
            <w:pPr>
              <w:overflowPunct w:val="0"/>
              <w:adjustRightInd w:val="0"/>
              <w:snapToGrid w:val="0"/>
              <w:textAlignment w:val="center"/>
              <w:rPr>
                <w:color w:val="000000"/>
                <w:spacing w:val="-4"/>
                <w:kern w:val="0"/>
                <w:szCs w:val="21"/>
              </w:rPr>
            </w:pPr>
            <w:r>
              <w:rPr>
                <w:rFonts w:hint="eastAsia"/>
                <w:color w:val="000000"/>
                <w:spacing w:val="-4"/>
                <w:kern w:val="0"/>
                <w:szCs w:val="21"/>
              </w:rPr>
              <w:t xml:space="preserve">《中华人民共和国公司法》第四十条 公司应当按照规定通过国家企业信用信息公示系统公示下列事项：（一）有限责任公司股东认缴和实缴的出资额、出资方式和出资日期，股份有限公司发 </w:t>
            </w:r>
          </w:p>
          <w:p w14:paraId="23ABBA2A">
            <w:pPr>
              <w:overflowPunct w:val="0"/>
              <w:adjustRightInd w:val="0"/>
              <w:snapToGrid w:val="0"/>
              <w:textAlignment w:val="center"/>
              <w:rPr>
                <w:color w:val="000000"/>
                <w:spacing w:val="-4"/>
                <w:kern w:val="0"/>
                <w:szCs w:val="21"/>
              </w:rPr>
            </w:pPr>
            <w:r>
              <w:rPr>
                <w:rFonts w:hint="eastAsia"/>
                <w:color w:val="000000"/>
                <w:spacing w:val="-4"/>
                <w:kern w:val="0"/>
                <w:szCs w:val="21"/>
              </w:rPr>
              <w:t xml:space="preserve">起人认购的股份数；（二）有限责任公司股东、股份有限公司发起人的股权、股份变更信息；（三）行政许可取得、变更、注销等信息；（四）法律、行政法规规定的其他信息。 </w:t>
            </w:r>
          </w:p>
          <w:p w14:paraId="5C90826A">
            <w:pPr>
              <w:overflowPunct w:val="0"/>
              <w:adjustRightInd w:val="0"/>
              <w:snapToGrid w:val="0"/>
              <w:textAlignment w:val="center"/>
              <w:rPr>
                <w:color w:val="000000"/>
                <w:spacing w:val="-4"/>
                <w:kern w:val="0"/>
                <w:szCs w:val="21"/>
              </w:rPr>
            </w:pPr>
            <w:r>
              <w:rPr>
                <w:rFonts w:hint="eastAsia"/>
                <w:color w:val="000000"/>
                <w:spacing w:val="-4"/>
                <w:kern w:val="0"/>
                <w:szCs w:val="21"/>
              </w:rPr>
              <w:t>公司应当确保前款公示信息真实、准确、完整。</w:t>
            </w:r>
          </w:p>
          <w:p w14:paraId="33704F5F">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p>
        </w:tc>
        <w:tc>
          <w:tcPr>
            <w:tcW w:w="2017" w:type="dxa"/>
            <w:shd w:val="clear" w:color="auto" w:fill="auto"/>
            <w:noWrap w:val="0"/>
            <w:vAlign w:val="center"/>
          </w:tcPr>
          <w:p w14:paraId="3DD9327F">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D67B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22" w:hRule="atLeast"/>
        </w:trPr>
        <w:tc>
          <w:tcPr>
            <w:tcW w:w="432" w:type="dxa"/>
            <w:noWrap w:val="0"/>
            <w:vAlign w:val="center"/>
          </w:tcPr>
          <w:p w14:paraId="09F5EE3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shd w:val="clear" w:color="auto" w:fill="auto"/>
            <w:noWrap w:val="0"/>
            <w:vAlign w:val="center"/>
          </w:tcPr>
          <w:p w14:paraId="24D54F5E">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市场主体未报送上一年度报告</w:t>
            </w:r>
          </w:p>
        </w:tc>
        <w:tc>
          <w:tcPr>
            <w:tcW w:w="2693" w:type="dxa"/>
            <w:shd w:val="clear" w:color="auto" w:fill="auto"/>
            <w:noWrap w:val="0"/>
            <w:vAlign w:val="center"/>
          </w:tcPr>
          <w:p w14:paraId="3AB7372A">
            <w:pPr>
              <w:rPr>
                <w:rFonts w:hint="eastAsia"/>
                <w:color w:val="000000"/>
                <w:spacing w:val="-4"/>
                <w:kern w:val="0"/>
                <w:szCs w:val="21"/>
              </w:rPr>
            </w:pPr>
            <w:r>
              <w:rPr>
                <w:rFonts w:hint="eastAsia"/>
                <w:color w:val="000000"/>
                <w:spacing w:val="-4"/>
                <w:kern w:val="0"/>
                <w:szCs w:val="21"/>
              </w:rPr>
              <w:t>同时具备以下条件：</w:t>
            </w:r>
          </w:p>
          <w:p w14:paraId="11049CA6">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1.首次实施此类违法行为；2.及时改正。</w:t>
            </w:r>
          </w:p>
        </w:tc>
        <w:tc>
          <w:tcPr>
            <w:tcW w:w="5812" w:type="dxa"/>
            <w:shd w:val="clear" w:color="auto" w:fill="auto"/>
            <w:noWrap w:val="0"/>
            <w:vAlign w:val="center"/>
          </w:tcPr>
          <w:p w14:paraId="4371A72F">
            <w:pPr>
              <w:overflowPunct w:val="0"/>
              <w:adjustRightInd w:val="0"/>
              <w:snapToGrid w:val="0"/>
              <w:rPr>
                <w:color w:val="000000"/>
                <w:spacing w:val="-4"/>
                <w:szCs w:val="21"/>
              </w:rPr>
            </w:pPr>
            <w:r>
              <w:rPr>
                <w:rFonts w:hint="eastAsia"/>
                <w:color w:val="000000"/>
                <w:spacing w:val="-4"/>
                <w:szCs w:val="21"/>
              </w:rPr>
              <w:t>《中华人民共和国市场主体登记管理条例实施细则》第六十三条  市场主体应当于每年1月1日至6月30日，通过国家企业信用信息公示系统报送上一年度年度报告，并向社会公示。</w:t>
            </w:r>
          </w:p>
          <w:p w14:paraId="6A3F593D">
            <w:pPr>
              <w:overflowPunct w:val="0"/>
              <w:adjustRightInd w:val="0"/>
              <w:snapToGrid w:val="0"/>
              <w:jc w:val="left"/>
              <w:rPr>
                <w:color w:val="000000"/>
                <w:spacing w:val="-4"/>
                <w:szCs w:val="21"/>
              </w:rPr>
            </w:pPr>
            <w:r>
              <w:rPr>
                <w:rFonts w:hint="eastAsia"/>
                <w:color w:val="000000"/>
                <w:spacing w:val="-4"/>
                <w:szCs w:val="21"/>
              </w:rPr>
              <w:t>个体工商户可以通过纸质方式报送年度报告，并自主选择年度报告内容是否向社会公示。</w:t>
            </w:r>
          </w:p>
          <w:p w14:paraId="50DD756E">
            <w:pPr>
              <w:overflowPunct w:val="0"/>
              <w:adjustRightInd w:val="0"/>
              <w:snapToGrid w:val="0"/>
              <w:jc w:val="left"/>
              <w:rPr>
                <w:rFonts w:hint="eastAsia"/>
                <w:color w:val="000000"/>
                <w:spacing w:val="-4"/>
                <w:szCs w:val="21"/>
              </w:rPr>
            </w:pPr>
            <w:r>
              <w:rPr>
                <w:rFonts w:hint="eastAsia"/>
                <w:color w:val="000000"/>
                <w:spacing w:val="-4"/>
                <w:szCs w:val="21"/>
              </w:rPr>
              <w:t>歇业的市场主体应当按时公示年度报告。</w:t>
            </w:r>
          </w:p>
          <w:p w14:paraId="7155A482">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《中华人民共和国市场主体登记管理条例实施细则》</w:t>
            </w:r>
            <w:r>
              <w:t>第七十条 </w:t>
            </w:r>
            <w:r>
              <w:rPr>
                <w:color w:val="000000"/>
                <w:spacing w:val="-4"/>
                <w:szCs w:val="21"/>
              </w:rPr>
              <w:t xml:space="preserve"> </w:t>
            </w:r>
            <w:r>
              <w:rPr>
                <w:rFonts w:hint="eastAsia"/>
                <w:color w:val="000000"/>
                <w:spacing w:val="-4"/>
                <w:szCs w:val="21"/>
              </w:rPr>
              <w:t>市场主体未按照法律、行政法规规定的期限公示或者报送年度报告的，由登记机关列入经营异常名录，可以处1万元以下的罚款。</w:t>
            </w:r>
          </w:p>
        </w:tc>
        <w:tc>
          <w:tcPr>
            <w:tcW w:w="2017" w:type="dxa"/>
            <w:shd w:val="clear" w:color="auto" w:fill="auto"/>
            <w:noWrap w:val="0"/>
            <w:vAlign w:val="center"/>
          </w:tcPr>
          <w:p w14:paraId="021D843E">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kern w:val="0"/>
                <w:szCs w:val="21"/>
              </w:rPr>
              <w:t>苏州市市场监督管理局及各市（区）市场监督管理局</w:t>
            </w:r>
          </w:p>
        </w:tc>
      </w:tr>
      <w:tr w14:paraId="4136F1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22" w:hRule="atLeast"/>
        </w:trPr>
        <w:tc>
          <w:tcPr>
            <w:tcW w:w="432" w:type="dxa"/>
            <w:noWrap w:val="0"/>
            <w:vAlign w:val="center"/>
          </w:tcPr>
          <w:p w14:paraId="5B16497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shd w:val="clear" w:color="auto" w:fill="auto"/>
            <w:noWrap w:val="0"/>
            <w:vAlign w:val="center"/>
          </w:tcPr>
          <w:p w14:paraId="6B1C47C4">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广告经营者、广告发布者未按照国家有关规定建立、健全广告业务管理制度</w:t>
            </w:r>
          </w:p>
        </w:tc>
        <w:tc>
          <w:tcPr>
            <w:tcW w:w="2693" w:type="dxa"/>
            <w:shd w:val="clear" w:color="auto" w:fill="auto"/>
            <w:noWrap w:val="0"/>
            <w:vAlign w:val="center"/>
          </w:tcPr>
          <w:p w14:paraId="54F351E9">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w:t>
            </w:r>
          </w:p>
          <w:p w14:paraId="0E2B640E">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1.初次违法；</w:t>
            </w:r>
          </w:p>
          <w:p w14:paraId="38EF5020">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2.及时改正；</w:t>
            </w:r>
          </w:p>
          <w:p w14:paraId="631E651C">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76BFB70D">
            <w:pPr>
              <w:widowControl/>
              <w:shd w:val="clear" w:color="auto" w:fill="FFFFFF"/>
              <w:spacing w:line="240" w:lineRule="atLeast"/>
              <w:ind w:firstLine="202" w:firstLineChars="100"/>
              <w:jc w:val="left"/>
              <w:rPr>
                <w:rFonts w:hint="eastAsia"/>
                <w:color w:val="000000"/>
                <w:spacing w:val="-4"/>
                <w:kern w:val="0"/>
                <w:szCs w:val="21"/>
              </w:rPr>
            </w:pPr>
            <w:r>
              <w:rPr>
                <w:rFonts w:hint="eastAsia"/>
                <w:color w:val="000000"/>
                <w:spacing w:val="-4"/>
                <w:kern w:val="0"/>
                <w:szCs w:val="21"/>
              </w:rPr>
              <w:t>《广告法》第三十四条第一款　广告经营者、广告发布者应当按照国家有关规定，建立、健全广告业务的承接登记、审核、档案管理制度。</w:t>
            </w:r>
          </w:p>
          <w:p w14:paraId="4DB4A442">
            <w:pPr>
              <w:ind w:firstLine="202" w:firstLineChars="100"/>
              <w:rPr>
                <w:rFonts w:hint="eastAsia" w:asciiTheme="minorHAnsi" w:hAnsiTheme="minorHAnsi" w:eastAsiaTheme="minorEastAsia" w:cstheme="minorBidi"/>
                <w:kern w:val="2"/>
                <w:sz w:val="21"/>
                <w:szCs w:val="22"/>
                <w:lang w:val="en-US" w:eastAsia="zh-CN" w:bidi="ar-SA"/>
              </w:rPr>
            </w:pPr>
            <w:r>
              <w:rPr>
                <w:rFonts w:hint="eastAsia"/>
                <w:color w:val="000000"/>
                <w:spacing w:val="-4"/>
                <w:kern w:val="0"/>
                <w:szCs w:val="21"/>
              </w:rPr>
              <w:t>第六十条　违反本法第三十四条规定，广告经营者、广告发布者未按照国家有关规定建立、健全广告业务管理制度的，或者未对广告内容进行核对的，由市场监督管理部门责令改正，可以处五万元以下的罚款。</w:t>
            </w:r>
          </w:p>
        </w:tc>
        <w:tc>
          <w:tcPr>
            <w:tcW w:w="2017" w:type="dxa"/>
            <w:shd w:val="clear" w:color="auto" w:fill="auto"/>
            <w:noWrap w:val="0"/>
            <w:vAlign w:val="center"/>
          </w:tcPr>
          <w:p w14:paraId="71D5441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C5A7E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35" w:hRule="atLeast"/>
        </w:trPr>
        <w:tc>
          <w:tcPr>
            <w:tcW w:w="432" w:type="dxa"/>
            <w:noWrap w:val="0"/>
            <w:vAlign w:val="center"/>
          </w:tcPr>
          <w:p w14:paraId="5DE072C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10</w:t>
            </w:r>
          </w:p>
        </w:tc>
        <w:tc>
          <w:tcPr>
            <w:tcW w:w="3112" w:type="dxa"/>
            <w:shd w:val="clear" w:color="auto" w:fill="auto"/>
            <w:noWrap w:val="0"/>
            <w:vAlign w:val="center"/>
          </w:tcPr>
          <w:p w14:paraId="6A7B2F28">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利用互联网发布广告，未显著标明关闭标志，确保一键关闭</w:t>
            </w:r>
          </w:p>
        </w:tc>
        <w:tc>
          <w:tcPr>
            <w:tcW w:w="2693" w:type="dxa"/>
            <w:shd w:val="clear" w:color="auto" w:fill="auto"/>
            <w:noWrap w:val="0"/>
            <w:vAlign w:val="center"/>
          </w:tcPr>
          <w:p w14:paraId="374A32CA">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w:t>
            </w:r>
          </w:p>
          <w:p w14:paraId="3A7DE7D4">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1.初次违法；</w:t>
            </w:r>
          </w:p>
          <w:p w14:paraId="78A66EAB">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2.及时改正；</w:t>
            </w:r>
          </w:p>
          <w:p w14:paraId="61E1EB8C">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7A3B7203">
            <w:pPr>
              <w:widowControl/>
              <w:shd w:val="clear" w:color="auto" w:fill="FFFFFF"/>
              <w:spacing w:line="240" w:lineRule="atLeast"/>
              <w:jc w:val="left"/>
              <w:rPr>
                <w:rFonts w:hint="eastAsia"/>
                <w:color w:val="000000"/>
                <w:spacing w:val="-4"/>
                <w:kern w:val="0"/>
                <w:szCs w:val="21"/>
              </w:rPr>
            </w:pPr>
            <w:r>
              <w:rPr>
                <w:rFonts w:hint="eastAsia"/>
                <w:color w:val="000000"/>
                <w:spacing w:val="-4"/>
                <w:kern w:val="0"/>
                <w:szCs w:val="21"/>
              </w:rPr>
              <w:t>《广告法》第四十四条第二款  利用互联网发布、发送广告，不得影响用户正常使用网络。在互联网页面以弹出等形式发布的广告，应当显著标明关闭标志，确保一键关闭。</w:t>
            </w:r>
          </w:p>
          <w:p w14:paraId="402AACBC">
            <w:pPr>
              <w:widowControl/>
              <w:shd w:val="clear" w:color="auto" w:fill="FFFFFF"/>
              <w:spacing w:line="240" w:lineRule="atLeast"/>
              <w:ind w:firstLine="420" w:firstLineChars="20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ascii="Helvetica" w:hAnsi="Helvetica" w:cs="Helvetica"/>
                <w:color w:val="000000"/>
                <w:szCs w:val="21"/>
                <w:shd w:val="clear" w:color="auto" w:fill="FFFFFF"/>
              </w:rPr>
              <w:t xml:space="preserve">第六十二条第二款  </w:t>
            </w:r>
            <w:r>
              <w:rPr>
                <w:rFonts w:ascii="Helvetica" w:hAnsi="Helvetica" w:eastAsia="Helvetica" w:cs="Helvetica"/>
                <w:color w:val="000000"/>
                <w:szCs w:val="21"/>
                <w:shd w:val="clear" w:color="auto" w:fill="FFFFFF"/>
              </w:rPr>
              <w:t>违反本法第四十四条第二款规定，利用互联网发布广告，未显著标明关闭标志，确保一键关闭的，由市场监督管理部门责令改正，对广告主处五千元以上三万元以下的罚款。</w:t>
            </w:r>
          </w:p>
        </w:tc>
        <w:tc>
          <w:tcPr>
            <w:tcW w:w="2017" w:type="dxa"/>
            <w:shd w:val="clear" w:color="auto" w:fill="auto"/>
            <w:noWrap w:val="0"/>
            <w:vAlign w:val="center"/>
          </w:tcPr>
          <w:p w14:paraId="497BF499">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14E834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35" w:hRule="atLeast"/>
        </w:trPr>
        <w:tc>
          <w:tcPr>
            <w:tcW w:w="432" w:type="dxa"/>
            <w:noWrap w:val="0"/>
            <w:vAlign w:val="center"/>
          </w:tcPr>
          <w:p w14:paraId="0A416E9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11</w:t>
            </w:r>
          </w:p>
        </w:tc>
        <w:tc>
          <w:tcPr>
            <w:tcW w:w="3112" w:type="dxa"/>
            <w:shd w:val="clear" w:color="auto" w:fill="auto"/>
            <w:noWrap w:val="0"/>
            <w:vAlign w:val="center"/>
          </w:tcPr>
          <w:p w14:paraId="7F31311E">
            <w:pPr>
              <w:overflowPunct w:val="0"/>
              <w:adjustRightInd w:val="0"/>
              <w:snapToGrid w:val="0"/>
              <w:textAlignment w:val="center"/>
              <w:rPr>
                <w:rFonts w:hint="eastAsia" w:ascii="Helvetica" w:hAnsi="Helvetica" w:cs="Helvetica" w:eastAsiaTheme="minorEastAsia"/>
                <w:color w:val="000000"/>
                <w:kern w:val="2"/>
                <w:sz w:val="21"/>
                <w:szCs w:val="21"/>
                <w:shd w:val="clear" w:color="auto" w:fill="FFFFFF"/>
                <w:lang w:val="en-US" w:eastAsia="zh-CN" w:bidi="ar-SA"/>
              </w:rPr>
            </w:pPr>
            <w:r>
              <w:rPr>
                <w:rFonts w:hint="eastAsia" w:ascii="Helvetica" w:hAnsi="Helvetica" w:cs="Helvetica"/>
                <w:color w:val="000000"/>
                <w:szCs w:val="21"/>
                <w:shd w:val="clear" w:color="auto" w:fill="FFFFFF"/>
              </w:rPr>
              <w:t>发布医疗、药品、医疗器械、农药、兽药和保健食品以及其他依法需要审查的广告，未标注已取得的审查批准文号</w:t>
            </w:r>
          </w:p>
        </w:tc>
        <w:tc>
          <w:tcPr>
            <w:tcW w:w="2693" w:type="dxa"/>
            <w:shd w:val="clear" w:color="auto" w:fill="auto"/>
            <w:noWrap w:val="0"/>
            <w:vAlign w:val="center"/>
          </w:tcPr>
          <w:p w14:paraId="0E75FBFD">
            <w:pPr>
              <w:overflowPunct w:val="0"/>
              <w:adjustRightInd w:val="0"/>
              <w:snapToGrid w:val="0"/>
              <w:jc w:val="left"/>
              <w:textAlignment w:val="center"/>
              <w:rPr>
                <w:rFonts w:hint="eastAsia" w:ascii="Helvetica" w:hAnsi="Helvetica" w:cs="Helvetica"/>
                <w:color w:val="000000"/>
                <w:szCs w:val="21"/>
                <w:shd w:val="clear" w:color="auto" w:fill="FFFFFF"/>
              </w:rPr>
            </w:pPr>
            <w:r>
              <w:rPr>
                <w:rFonts w:hint="eastAsia" w:ascii="Helvetica" w:hAnsi="Helvetica" w:cs="Helvetica"/>
                <w:color w:val="000000"/>
                <w:szCs w:val="21"/>
                <w:shd w:val="clear" w:color="auto" w:fill="FFFFFF"/>
              </w:rPr>
              <w:t>同时具备以下条件：</w:t>
            </w:r>
            <w:r>
              <w:rPr>
                <w:rFonts w:hint="eastAsia" w:ascii="Helvetica" w:hAnsi="Helvetica" w:cs="Helvetica"/>
                <w:color w:val="000000"/>
                <w:szCs w:val="21"/>
                <w:shd w:val="clear" w:color="auto" w:fill="FFFFFF"/>
              </w:rPr>
              <w:br w:type="textWrapping"/>
            </w:r>
            <w:r>
              <w:rPr>
                <w:rFonts w:hint="eastAsia" w:ascii="Helvetica" w:hAnsi="Helvetica" w:cs="Helvetica"/>
                <w:color w:val="000000"/>
                <w:szCs w:val="21"/>
                <w:shd w:val="clear" w:color="auto" w:fill="FFFFFF"/>
              </w:rPr>
              <w:t>1.已取得审查批准文号且在有效期内；</w:t>
            </w:r>
            <w:r>
              <w:rPr>
                <w:rFonts w:hint="eastAsia" w:ascii="Helvetica" w:hAnsi="Helvetica" w:cs="Helvetica"/>
                <w:color w:val="000000"/>
                <w:szCs w:val="21"/>
                <w:shd w:val="clear" w:color="auto" w:fill="FFFFFF"/>
              </w:rPr>
              <w:br w:type="textWrapping"/>
            </w:r>
            <w:r>
              <w:rPr>
                <w:rFonts w:hint="eastAsia" w:ascii="Helvetica" w:hAnsi="Helvetica" w:cs="Helvetica"/>
                <w:color w:val="000000"/>
                <w:szCs w:val="21"/>
                <w:shd w:val="clear" w:color="auto" w:fill="FFFFFF"/>
              </w:rPr>
              <w:t>2.广告发布内容与原审查批准内容一致；</w:t>
            </w:r>
            <w:r>
              <w:rPr>
                <w:rFonts w:hint="eastAsia" w:ascii="Helvetica" w:hAnsi="Helvetica" w:cs="Helvetica"/>
                <w:color w:val="000000"/>
                <w:szCs w:val="21"/>
                <w:shd w:val="clear" w:color="auto" w:fill="FFFFFF"/>
              </w:rPr>
              <w:br w:type="textWrapping"/>
            </w:r>
            <w:r>
              <w:rPr>
                <w:rFonts w:hint="eastAsia" w:ascii="Helvetica" w:hAnsi="Helvetica" w:cs="Helvetica"/>
                <w:color w:val="000000"/>
                <w:szCs w:val="21"/>
                <w:shd w:val="clear" w:color="auto" w:fill="FFFFFF"/>
              </w:rPr>
              <w:t>3.及时改正;</w:t>
            </w:r>
          </w:p>
          <w:p w14:paraId="0AFF2B62">
            <w:pPr>
              <w:overflowPunct w:val="0"/>
              <w:adjustRightInd w:val="0"/>
              <w:snapToGrid w:val="0"/>
              <w:jc w:val="left"/>
              <w:textAlignment w:val="center"/>
              <w:rPr>
                <w:rFonts w:hint="eastAsia" w:ascii="Helvetica" w:hAnsi="Helvetica" w:cs="Helvetica" w:eastAsiaTheme="minorEastAsia"/>
                <w:color w:val="000000"/>
                <w:kern w:val="2"/>
                <w:sz w:val="21"/>
                <w:szCs w:val="21"/>
                <w:shd w:val="clear" w:color="auto" w:fill="FFFFFF"/>
                <w:lang w:val="en-US" w:eastAsia="zh-CN" w:bidi="ar-SA"/>
              </w:rPr>
            </w:pPr>
            <w:r>
              <w:rPr>
                <w:rFonts w:hint="eastAsia" w:ascii="Helvetica" w:hAnsi="Helvetica" w:cs="Helvetica"/>
                <w:color w:val="000000"/>
                <w:szCs w:val="21"/>
                <w:shd w:val="clear" w:color="auto" w:fill="FFFFFF"/>
              </w:rPr>
              <w:t>4.没有造成危害后果。</w:t>
            </w:r>
          </w:p>
        </w:tc>
        <w:tc>
          <w:tcPr>
            <w:tcW w:w="5812" w:type="dxa"/>
            <w:shd w:val="clear" w:color="auto" w:fill="auto"/>
            <w:noWrap w:val="0"/>
            <w:vAlign w:val="center"/>
          </w:tcPr>
          <w:p w14:paraId="4B046B1A">
            <w:pPr>
              <w:widowControl/>
              <w:shd w:val="clear" w:color="auto" w:fill="FFFFFF"/>
              <w:spacing w:line="240" w:lineRule="atLeast"/>
              <w:jc w:val="left"/>
              <w:rPr>
                <w:rFonts w:hint="eastAsia" w:ascii="Helvetica" w:hAnsi="Helvetica" w:cs="Helvetica"/>
                <w:color w:val="000000"/>
                <w:szCs w:val="21"/>
                <w:shd w:val="clear" w:color="auto" w:fill="FFFFFF"/>
              </w:rPr>
            </w:pPr>
            <w:r>
              <w:rPr>
                <w:rFonts w:hint="eastAsia" w:ascii="Helvetica" w:hAnsi="Helvetica" w:cs="Helvetica"/>
                <w:color w:val="000000"/>
                <w:szCs w:val="21"/>
                <w:shd w:val="clear" w:color="auto" w:fill="FFFFFF"/>
              </w:rPr>
              <w:t>《广告法》第四十六条  发布医疗、药品、医疗器械、农药、兽药和保健食品广告，以及法律、行政法规规定应当进行审查的其他广告，应当在发布前由有关部门（以下称广告审查机关）对广告内容进行审查；未经审查，不得发布。</w:t>
            </w:r>
            <w:r>
              <w:rPr>
                <w:rFonts w:hint="eastAsia" w:ascii="Helvetica" w:hAnsi="Helvetica" w:cs="Helvetica"/>
                <w:color w:val="000000"/>
                <w:szCs w:val="21"/>
                <w:shd w:val="clear" w:color="auto" w:fill="FFFFFF"/>
              </w:rPr>
              <w:br w:type="textWrapping"/>
            </w:r>
            <w:r>
              <w:rPr>
                <w:rFonts w:hint="eastAsia" w:ascii="Helvetica" w:hAnsi="Helvetica" w:cs="Helvetica"/>
                <w:color w:val="000000"/>
                <w:szCs w:val="21"/>
                <w:shd w:val="clear" w:color="auto" w:fill="FFFFFF"/>
              </w:rPr>
              <w:t>《药品、医疗器械、保健食品、特殊医学用途配方食品广告审查管理暂行办法》第九条 药品、医疗器械、保健食品和特殊医学用途配方食品广告应当显著标明广告批准文号。</w:t>
            </w:r>
            <w:r>
              <w:rPr>
                <w:rFonts w:hint="eastAsia" w:ascii="Helvetica" w:hAnsi="Helvetica" w:cs="Helvetica"/>
                <w:color w:val="000000"/>
                <w:szCs w:val="21"/>
                <w:shd w:val="clear" w:color="auto" w:fill="FFFFFF"/>
              </w:rPr>
              <w:br w:type="textWrapping"/>
            </w:r>
            <w:r>
              <w:rPr>
                <w:rFonts w:hint="eastAsia" w:ascii="Helvetica" w:hAnsi="Helvetica" w:cs="Helvetica"/>
                <w:color w:val="000000"/>
                <w:szCs w:val="21"/>
                <w:shd w:val="clear" w:color="auto" w:fill="FFFFFF"/>
              </w:rPr>
              <w:t>第十条 药品、医疗器械、保健食品和特殊医学用途配方食品广告中应当显著标明的内容，其字体和颜色必须清晰可见、易于辨认，在视频广告中应当持续显示。</w:t>
            </w:r>
            <w:r>
              <w:rPr>
                <w:rFonts w:hint="eastAsia" w:ascii="Helvetica" w:hAnsi="Helvetica" w:cs="Helvetica"/>
                <w:color w:val="000000"/>
                <w:szCs w:val="21"/>
                <w:shd w:val="clear" w:color="auto" w:fill="FFFFFF"/>
              </w:rPr>
              <w:br w:type="textWrapping"/>
            </w:r>
            <w:r>
              <w:rPr>
                <w:rFonts w:hint="eastAsia" w:ascii="Helvetica" w:hAnsi="Helvetica" w:cs="Helvetica"/>
                <w:color w:val="000000"/>
                <w:szCs w:val="21"/>
                <w:shd w:val="clear" w:color="auto" w:fill="FFFFFF"/>
              </w:rPr>
              <w:t>《江苏省广告条例》第九条第四款  药品、医疗、医疗器械、保健食品、特殊医学用途配方食品、农药、兽药以及其他依法需要由有关部门（以下称广告审查机关）审查的广告，应当明示广告审查批准文号。</w:t>
            </w:r>
          </w:p>
          <w:p w14:paraId="75603A49">
            <w:pPr>
              <w:widowControl/>
              <w:shd w:val="clear" w:color="auto" w:fill="FFFFFF"/>
              <w:spacing w:line="240" w:lineRule="atLeast"/>
              <w:jc w:val="left"/>
              <w:rPr>
                <w:rFonts w:hint="eastAsia" w:ascii="Helvetica" w:hAnsi="Helvetica" w:cs="Helvetica" w:eastAsiaTheme="minorEastAsia"/>
                <w:color w:val="000000"/>
                <w:kern w:val="2"/>
                <w:sz w:val="21"/>
                <w:szCs w:val="21"/>
                <w:shd w:val="clear" w:color="auto" w:fill="FFFFFF"/>
                <w:lang w:val="en-US" w:eastAsia="zh-CN" w:bidi="ar-SA"/>
              </w:rPr>
            </w:pPr>
            <w:r>
              <w:rPr>
                <w:rFonts w:hint="eastAsia" w:ascii="Helvetica" w:hAnsi="Helvetica" w:cs="Helvetica"/>
                <w:color w:val="000000"/>
                <w:szCs w:val="21"/>
                <w:shd w:val="clear" w:color="auto" w:fill="FFFFFF"/>
              </w:rPr>
              <w:t>《药品、医疗器械、保健食品、特殊医学用途配方食品广告审查管理暂行办法》第二十五条 违反本办法第十条规定，未显著、清晰表示广告中应当显著标明内容的，按照《中华人民共和国广告法》第五十九条处罚。</w:t>
            </w:r>
            <w:r>
              <w:rPr>
                <w:rFonts w:hint="eastAsia" w:ascii="Helvetica" w:hAnsi="Helvetica" w:cs="Helvetica"/>
                <w:color w:val="000000"/>
                <w:szCs w:val="21"/>
                <w:shd w:val="clear" w:color="auto" w:fill="FFFFFF"/>
              </w:rPr>
              <w:br w:type="textWrapping"/>
            </w:r>
            <w:r>
              <w:rPr>
                <w:rFonts w:hint="eastAsia" w:ascii="Helvetica" w:hAnsi="Helvetica" w:cs="Helvetica"/>
                <w:color w:val="000000"/>
                <w:szCs w:val="21"/>
                <w:shd w:val="clear" w:color="auto" w:fill="FFFFFF"/>
              </w:rPr>
              <w:t>《广告法》第五十九条 有下列行为之一的，由市场监督管理部门责令停止发布广告，对广告主处十万元以下的罚款：……</w:t>
            </w:r>
            <w:r>
              <w:rPr>
                <w:rFonts w:hint="eastAsia" w:ascii="Helvetica" w:hAnsi="Helvetica" w:cs="Helvetica"/>
                <w:color w:val="000000"/>
                <w:szCs w:val="21"/>
                <w:shd w:val="clear" w:color="auto" w:fill="FFFFFF"/>
              </w:rPr>
              <w:br w:type="textWrapping"/>
            </w:r>
            <w:r>
              <w:rPr>
                <w:rFonts w:hint="eastAsia" w:ascii="Helvetica" w:hAnsi="Helvetica" w:cs="Helvetica"/>
                <w:color w:val="000000"/>
                <w:szCs w:val="21"/>
                <w:shd w:val="clear" w:color="auto" w:fill="FFFFFF"/>
              </w:rPr>
              <w:t>《江苏省广告条例》第五十四条第一款　违反本条例第九条第二款至第五款规定，发布广告未明示有关内容的，由市场监督管理部门责令停止发布，对广告主处以一万元以上十万元以下的罚款。</w:t>
            </w:r>
            <w:r>
              <w:rPr>
                <w:rFonts w:hint="eastAsia" w:ascii="Helvetica" w:hAnsi="Helvetica" w:cs="Helvetica"/>
                <w:color w:val="000000"/>
                <w:szCs w:val="21"/>
                <w:shd w:val="clear" w:color="auto" w:fill="FFFFFF"/>
              </w:rPr>
              <w:br w:type="textWrapping"/>
            </w:r>
            <w:r>
              <w:rPr>
                <w:rFonts w:hint="eastAsia" w:ascii="Helvetica" w:hAnsi="Helvetica" w:cs="Helvetica"/>
                <w:color w:val="000000"/>
                <w:szCs w:val="21"/>
                <w:shd w:val="clear" w:color="auto" w:fill="FFFFFF"/>
              </w:rPr>
              <w:t>第五十九条第四项 有下列情形之一，违法事实清楚，当场可以查实，且当事人及时改正，主动消除或者减轻危害后果的，依法从轻、减轻处罚；违法行为轻微并及时纠正，没有造成危害后果的，依法不予处罚：（四）已取得药品、医疗、医疗器械、保健食品、特殊医学用途配方食品、农药、兽药以及其他依法需要审查的广告的审查批准文号，但未标注的。</w:t>
            </w:r>
          </w:p>
        </w:tc>
        <w:tc>
          <w:tcPr>
            <w:tcW w:w="2017" w:type="dxa"/>
            <w:shd w:val="clear" w:color="auto" w:fill="auto"/>
            <w:noWrap w:val="0"/>
            <w:vAlign w:val="center"/>
          </w:tcPr>
          <w:p w14:paraId="3CC0FC1F">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58EDFD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59" w:hRule="atLeast"/>
        </w:trPr>
        <w:tc>
          <w:tcPr>
            <w:tcW w:w="432" w:type="dxa"/>
            <w:noWrap w:val="0"/>
            <w:vAlign w:val="center"/>
          </w:tcPr>
          <w:p w14:paraId="0E5C4E6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12</w:t>
            </w:r>
          </w:p>
        </w:tc>
        <w:tc>
          <w:tcPr>
            <w:tcW w:w="3112" w:type="dxa"/>
            <w:shd w:val="clear" w:color="auto" w:fill="auto"/>
            <w:noWrap w:val="0"/>
            <w:vAlign w:val="center"/>
          </w:tcPr>
          <w:p w14:paraId="61455302">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法律、行政法规规定应当明示的广告内容，不够显著、清晰表示</w:t>
            </w:r>
          </w:p>
        </w:tc>
        <w:tc>
          <w:tcPr>
            <w:tcW w:w="2693" w:type="dxa"/>
            <w:shd w:val="clear" w:color="auto" w:fill="auto"/>
            <w:noWrap w:val="0"/>
            <w:vAlign w:val="center"/>
          </w:tcPr>
          <w:p w14:paraId="2B86ABFC">
            <w:pPr>
              <w:rPr>
                <w:rFonts w:hint="eastAsia"/>
                <w:color w:val="000000"/>
                <w:spacing w:val="-4"/>
                <w:kern w:val="0"/>
                <w:szCs w:val="21"/>
              </w:rPr>
            </w:pPr>
            <w:r>
              <w:rPr>
                <w:rFonts w:hint="eastAsia"/>
                <w:color w:val="000000"/>
                <w:spacing w:val="-4"/>
                <w:kern w:val="0"/>
                <w:szCs w:val="21"/>
              </w:rPr>
              <w:t>同时具备以下条件：</w:t>
            </w:r>
          </w:p>
          <w:p w14:paraId="149CEB16">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1.首次实施此类违法行为；</w:t>
            </w:r>
          </w:p>
          <w:p w14:paraId="529B6E98">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2．对市场秩序的扰乱程度较轻，对消费者欺骗、误导作用较小；</w:t>
            </w:r>
          </w:p>
          <w:p w14:paraId="060163FA">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3.责令限期改正后及时改正的。</w:t>
            </w:r>
          </w:p>
        </w:tc>
        <w:tc>
          <w:tcPr>
            <w:tcW w:w="5812" w:type="dxa"/>
            <w:shd w:val="clear" w:color="auto" w:fill="auto"/>
            <w:noWrap w:val="0"/>
            <w:vAlign w:val="center"/>
          </w:tcPr>
          <w:p w14:paraId="7A6C6AF2">
            <w:pPr>
              <w:shd w:val="clear" w:color="auto" w:fill="FFFFFF"/>
              <w:overflowPunct w:val="0"/>
              <w:adjustRightInd w:val="0"/>
              <w:snapToGrid w:val="0"/>
              <w:jc w:val="left"/>
              <w:rPr>
                <w:rFonts w:hint="eastAsia"/>
                <w:color w:val="000000"/>
                <w:spacing w:val="-4"/>
                <w:kern w:val="0"/>
                <w:szCs w:val="21"/>
              </w:rPr>
            </w:pPr>
            <w:r>
              <w:rPr>
                <w:rFonts w:hint="eastAsia"/>
                <w:color w:val="000000"/>
                <w:spacing w:val="-4"/>
                <w:kern w:val="0"/>
                <w:szCs w:val="21"/>
              </w:rPr>
              <w:t>《广告法》第八条  广告中对商品的性能、功能、产地、用途、质量、成分、价格、生产者、有效期限、允诺等或者对服务的内容、提供者、形式、质量、价格、允诺等有表示的，应当准确、清楚、明白。 广告中表明推销的商品或者服务附带赠送的，应当明示所附带赠送商品或者服务的品种、规格、数量、期限和方式。 法律、行政法规规定广告中应当明示的内容，应当显著、清晰表示。</w:t>
            </w:r>
          </w:p>
          <w:p w14:paraId="638B2EB0">
            <w:pPr>
              <w:shd w:val="clear" w:color="auto" w:fill="FFFFFF"/>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《广告法》第五十九条第一款  有下列行为之一的，由市场监督管理部门责令停止发布广告，对广告主处十万元以下的罚款：（一）广告内容违反本法第八条规定的。</w:t>
            </w:r>
          </w:p>
        </w:tc>
        <w:tc>
          <w:tcPr>
            <w:tcW w:w="2017" w:type="dxa"/>
            <w:shd w:val="clear" w:color="auto" w:fill="auto"/>
            <w:noWrap w:val="0"/>
            <w:vAlign w:val="center"/>
          </w:tcPr>
          <w:p w14:paraId="17EB44D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5C9AD6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35" w:hRule="atLeast"/>
        </w:trPr>
        <w:tc>
          <w:tcPr>
            <w:tcW w:w="432" w:type="dxa"/>
            <w:noWrap w:val="0"/>
            <w:vAlign w:val="center"/>
          </w:tcPr>
          <w:p w14:paraId="7040E8F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13</w:t>
            </w:r>
          </w:p>
        </w:tc>
        <w:tc>
          <w:tcPr>
            <w:tcW w:w="3112" w:type="dxa"/>
            <w:shd w:val="clear" w:color="auto" w:fill="auto"/>
            <w:noWrap w:val="0"/>
            <w:vAlign w:val="center"/>
          </w:tcPr>
          <w:p w14:paraId="37494DD0">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广告引证内容合法有据，但未在广告中表明出处</w:t>
            </w:r>
          </w:p>
        </w:tc>
        <w:tc>
          <w:tcPr>
            <w:tcW w:w="2693" w:type="dxa"/>
            <w:shd w:val="clear" w:color="auto" w:fill="auto"/>
            <w:noWrap w:val="0"/>
            <w:vAlign w:val="center"/>
          </w:tcPr>
          <w:p w14:paraId="3A21FFFE">
            <w:pPr>
              <w:rPr>
                <w:rFonts w:hint="eastAsia"/>
                <w:color w:val="000000"/>
                <w:spacing w:val="-4"/>
                <w:kern w:val="0"/>
                <w:szCs w:val="21"/>
              </w:rPr>
            </w:pPr>
            <w:r>
              <w:rPr>
                <w:rFonts w:hint="eastAsia"/>
                <w:color w:val="000000"/>
                <w:spacing w:val="-4"/>
                <w:kern w:val="0"/>
                <w:szCs w:val="21"/>
              </w:rPr>
              <w:t>同时具备以下条件：</w:t>
            </w:r>
          </w:p>
          <w:p w14:paraId="4F77BEF8">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1.首次实施此类违法行为;</w:t>
            </w:r>
          </w:p>
          <w:p w14:paraId="05C77256">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2.及时纠正;</w:t>
            </w:r>
          </w:p>
          <w:p w14:paraId="56FB3C05">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18C38A4C">
            <w:pPr>
              <w:shd w:val="clear" w:color="auto" w:fill="FFFFFF"/>
              <w:overflowPunct w:val="0"/>
              <w:adjustRightInd w:val="0"/>
              <w:snapToGrid w:val="0"/>
              <w:rPr>
                <w:rFonts w:hint="eastAsia"/>
                <w:color w:val="000000"/>
                <w:spacing w:val="-4"/>
                <w:kern w:val="0"/>
                <w:szCs w:val="21"/>
              </w:rPr>
            </w:pPr>
            <w:r>
              <w:rPr>
                <w:rFonts w:hint="eastAsia"/>
                <w:color w:val="000000"/>
                <w:spacing w:val="-4"/>
                <w:kern w:val="0"/>
                <w:szCs w:val="21"/>
              </w:rPr>
              <w:t>《广告法》第十一条第二款  广告使用数据、统计资料、调查结果、文摘、引用语等引证内容的，应当真实、准确，并表明出处。引证内容有适用范围和有效期限的，应当明确表示。</w:t>
            </w:r>
          </w:p>
          <w:p w14:paraId="2E57F6F8">
            <w:pPr>
              <w:shd w:val="clear" w:color="auto" w:fill="FFFFFF"/>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第五十九条第一款，有下列行为之一的，由市场监督管理部门责令停止发布广告，对广告主处十万元以下的罚款：（二）广告引证内容违反本法第十一条规定的。</w:t>
            </w:r>
          </w:p>
        </w:tc>
        <w:tc>
          <w:tcPr>
            <w:tcW w:w="2017" w:type="dxa"/>
            <w:shd w:val="clear" w:color="auto" w:fill="auto"/>
            <w:noWrap w:val="0"/>
            <w:vAlign w:val="center"/>
          </w:tcPr>
          <w:p w14:paraId="2F1939F4">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D9BFD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665" w:hRule="atLeast"/>
        </w:trPr>
        <w:tc>
          <w:tcPr>
            <w:tcW w:w="432" w:type="dxa"/>
            <w:noWrap w:val="0"/>
            <w:vAlign w:val="center"/>
          </w:tcPr>
          <w:p w14:paraId="7F9321F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14</w:t>
            </w:r>
          </w:p>
        </w:tc>
        <w:tc>
          <w:tcPr>
            <w:tcW w:w="3112" w:type="dxa"/>
            <w:shd w:val="clear" w:color="auto" w:fill="auto"/>
            <w:noWrap w:val="0"/>
            <w:vAlign w:val="center"/>
          </w:tcPr>
          <w:p w14:paraId="69E53122">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广告中涉及专利产品或者专利方法，未标明专利号或者专利种类</w:t>
            </w:r>
          </w:p>
        </w:tc>
        <w:tc>
          <w:tcPr>
            <w:tcW w:w="2693" w:type="dxa"/>
            <w:shd w:val="clear" w:color="auto" w:fill="auto"/>
            <w:noWrap w:val="0"/>
            <w:vAlign w:val="center"/>
          </w:tcPr>
          <w:p w14:paraId="6A92AFCC">
            <w:pPr>
              <w:rPr>
                <w:rFonts w:hint="eastAsia"/>
                <w:color w:val="000000"/>
                <w:spacing w:val="-4"/>
                <w:kern w:val="0"/>
                <w:szCs w:val="21"/>
              </w:rPr>
            </w:pPr>
            <w:r>
              <w:rPr>
                <w:rFonts w:hint="eastAsia"/>
                <w:color w:val="000000"/>
                <w:spacing w:val="-4"/>
                <w:kern w:val="0"/>
                <w:szCs w:val="21"/>
              </w:rPr>
              <w:t>同时具备以下条件：</w:t>
            </w:r>
          </w:p>
          <w:p w14:paraId="61309843">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1.专利有效;</w:t>
            </w:r>
          </w:p>
          <w:p w14:paraId="75500BBE">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2.及时纠正;</w:t>
            </w:r>
          </w:p>
          <w:p w14:paraId="06DA325E">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3.没有造成危害后果的。</w:t>
            </w:r>
          </w:p>
        </w:tc>
        <w:tc>
          <w:tcPr>
            <w:tcW w:w="5812" w:type="dxa"/>
            <w:shd w:val="clear" w:color="auto" w:fill="auto"/>
            <w:noWrap w:val="0"/>
            <w:vAlign w:val="center"/>
          </w:tcPr>
          <w:p w14:paraId="5F159A2F">
            <w:pPr>
              <w:overflowPunct w:val="0"/>
              <w:adjustRightInd w:val="0"/>
              <w:snapToGrid w:val="0"/>
              <w:jc w:val="left"/>
              <w:rPr>
                <w:rFonts w:hint="eastAsia"/>
                <w:color w:val="000000"/>
                <w:spacing w:val="-4"/>
                <w:kern w:val="0"/>
                <w:szCs w:val="21"/>
              </w:rPr>
            </w:pPr>
            <w:r>
              <w:rPr>
                <w:rFonts w:hint="eastAsia"/>
                <w:color w:val="000000"/>
                <w:spacing w:val="-4"/>
                <w:kern w:val="0"/>
                <w:szCs w:val="21"/>
              </w:rPr>
              <w:t>《广告法》第十二条第一款　广告中涉及专利产品或者专利方法的，应当标明专利号和专利种类。</w:t>
            </w:r>
          </w:p>
          <w:p w14:paraId="7A1FFD39">
            <w:pPr>
              <w:overflowPunct w:val="0"/>
              <w:adjustRightInd w:val="0"/>
              <w:snapToGrid w:val="0"/>
              <w:jc w:val="left"/>
              <w:rPr>
                <w:rFonts w:hint="eastAsia"/>
                <w:color w:val="000000"/>
                <w:spacing w:val="-4"/>
                <w:kern w:val="0"/>
                <w:szCs w:val="21"/>
              </w:rPr>
            </w:pPr>
            <w:r>
              <w:rPr>
                <w:rFonts w:hint="eastAsia"/>
                <w:color w:val="000000"/>
                <w:spacing w:val="-4"/>
                <w:kern w:val="0"/>
                <w:szCs w:val="21"/>
              </w:rPr>
              <w:t>第五十九条第一款  有下列行为之一的，由市场监督管理部门责令停止发布广告，对广告主处十万元以下的罚款：（三）涉及专利的广告违反本法第十二条规定的；</w:t>
            </w:r>
          </w:p>
          <w:p w14:paraId="3E9ABE06">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《江苏省广告条例》第五十九条  有下列情形之一，违法事实清楚，当场可以查实，且当事人及时改正，主动消除或者减轻危害后果的，依法从轻、减轻处罚；违法行为轻微并及时纠正，没有造成危害后果的，依法不予处罚： （三）广告中涉及专利产品或者专利方法，未标明专利号或者专利种类，但专利是有效的。</w:t>
            </w:r>
          </w:p>
        </w:tc>
        <w:tc>
          <w:tcPr>
            <w:tcW w:w="2017" w:type="dxa"/>
            <w:shd w:val="clear" w:color="auto" w:fill="auto"/>
            <w:noWrap w:val="0"/>
            <w:vAlign w:val="center"/>
          </w:tcPr>
          <w:p w14:paraId="14F699A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5642E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90" w:hRule="atLeast"/>
        </w:trPr>
        <w:tc>
          <w:tcPr>
            <w:tcW w:w="432" w:type="dxa"/>
            <w:noWrap w:val="0"/>
            <w:vAlign w:val="center"/>
          </w:tcPr>
          <w:p w14:paraId="306B126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15</w:t>
            </w:r>
          </w:p>
        </w:tc>
        <w:tc>
          <w:tcPr>
            <w:tcW w:w="3112" w:type="dxa"/>
            <w:shd w:val="clear" w:color="auto" w:fill="auto"/>
            <w:noWrap w:val="0"/>
            <w:vAlign w:val="center"/>
          </w:tcPr>
          <w:p w14:paraId="5FFEFF9C">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广告中使用已经终止的专利或因未按期缴纳专利费致使专利权过期的专利</w:t>
            </w:r>
          </w:p>
        </w:tc>
        <w:tc>
          <w:tcPr>
            <w:tcW w:w="2693" w:type="dxa"/>
            <w:shd w:val="clear" w:color="auto" w:fill="auto"/>
            <w:noWrap w:val="0"/>
            <w:vAlign w:val="center"/>
          </w:tcPr>
          <w:p w14:paraId="105743D4">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w:t>
            </w:r>
          </w:p>
          <w:p w14:paraId="1603B9A8">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1.初次违法；</w:t>
            </w:r>
          </w:p>
          <w:p w14:paraId="14105DD6">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2.及时改正或按照规定补缴专利费，恢复专利权；</w:t>
            </w:r>
          </w:p>
          <w:p w14:paraId="20AEDEA1">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3.违法行为持续时间较短，危害后果轻微。</w:t>
            </w:r>
          </w:p>
        </w:tc>
        <w:tc>
          <w:tcPr>
            <w:tcW w:w="5812" w:type="dxa"/>
            <w:shd w:val="clear" w:color="auto" w:fill="auto"/>
            <w:noWrap w:val="0"/>
            <w:vAlign w:val="center"/>
          </w:tcPr>
          <w:p w14:paraId="2F237B35">
            <w:pPr>
              <w:overflowPunct w:val="0"/>
              <w:adjustRightInd w:val="0"/>
              <w:snapToGrid w:val="0"/>
              <w:jc w:val="left"/>
              <w:rPr>
                <w:rFonts w:hint="eastAsia"/>
                <w:color w:val="000000"/>
                <w:spacing w:val="-4"/>
                <w:kern w:val="0"/>
                <w:szCs w:val="21"/>
              </w:rPr>
            </w:pPr>
            <w:r>
              <w:rPr>
                <w:rFonts w:hint="eastAsia"/>
                <w:color w:val="000000"/>
                <w:spacing w:val="-4"/>
                <w:kern w:val="0"/>
                <w:szCs w:val="21"/>
              </w:rPr>
              <w:t xml:space="preserve">《广告法》第十二条第三款  禁止使用未授予专利权的专利申请和已经终止、撤销、无效的专利作广告。   </w:t>
            </w:r>
          </w:p>
          <w:p w14:paraId="52522BEF">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第五十九条第一款  有下列行为之一的，由市场监督管理部门责令停止发布广告，对广告主处十万元以下的罚款：（三）涉及专利的广告违反本法第十二条规定的。</w:t>
            </w:r>
          </w:p>
        </w:tc>
        <w:tc>
          <w:tcPr>
            <w:tcW w:w="2017" w:type="dxa"/>
            <w:shd w:val="clear" w:color="auto" w:fill="auto"/>
            <w:noWrap w:val="0"/>
            <w:vAlign w:val="center"/>
          </w:tcPr>
          <w:p w14:paraId="61FDD3DF">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09A74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41" w:hRule="atLeast"/>
        </w:trPr>
        <w:tc>
          <w:tcPr>
            <w:tcW w:w="432" w:type="dxa"/>
            <w:noWrap w:val="0"/>
            <w:vAlign w:val="center"/>
          </w:tcPr>
          <w:p w14:paraId="6DE2D33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16</w:t>
            </w:r>
          </w:p>
        </w:tc>
        <w:tc>
          <w:tcPr>
            <w:tcW w:w="3112" w:type="dxa"/>
            <w:shd w:val="clear" w:color="auto" w:fill="auto"/>
            <w:noWrap w:val="0"/>
            <w:vAlign w:val="center"/>
          </w:tcPr>
          <w:p w14:paraId="0CB11542">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广告使用的语言文字、数字、标点符号和计量单位等不符合国家有关规范、标准和规定</w:t>
            </w:r>
          </w:p>
        </w:tc>
        <w:tc>
          <w:tcPr>
            <w:tcW w:w="2693" w:type="dxa"/>
            <w:shd w:val="clear" w:color="auto" w:fill="auto"/>
            <w:noWrap w:val="0"/>
            <w:vAlign w:val="center"/>
          </w:tcPr>
          <w:p w14:paraId="33CA961C">
            <w:pPr>
              <w:rPr>
                <w:rFonts w:hint="eastAsia"/>
                <w:color w:val="000000"/>
                <w:spacing w:val="-4"/>
                <w:kern w:val="0"/>
                <w:szCs w:val="21"/>
              </w:rPr>
            </w:pPr>
            <w:r>
              <w:rPr>
                <w:rFonts w:hint="eastAsia"/>
                <w:color w:val="000000"/>
                <w:spacing w:val="-4"/>
                <w:kern w:val="0"/>
                <w:szCs w:val="21"/>
              </w:rPr>
              <w:t>同时具备以下条件：</w:t>
            </w:r>
          </w:p>
          <w:p w14:paraId="3E82F683">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1.责令改正后及时改正;</w:t>
            </w:r>
          </w:p>
          <w:p w14:paraId="681919D1">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2.没有造成危害后果。</w:t>
            </w:r>
          </w:p>
        </w:tc>
        <w:tc>
          <w:tcPr>
            <w:tcW w:w="5812" w:type="dxa"/>
            <w:shd w:val="clear" w:color="auto" w:fill="auto"/>
            <w:noWrap w:val="0"/>
            <w:vAlign w:val="center"/>
          </w:tcPr>
          <w:p w14:paraId="6B91D55D">
            <w:pPr>
              <w:shd w:val="clear" w:color="auto" w:fill="FFFFFF"/>
              <w:overflowPunct w:val="0"/>
              <w:adjustRightInd w:val="0"/>
              <w:snapToGrid w:val="0"/>
              <w:rPr>
                <w:rFonts w:hint="eastAsia"/>
                <w:color w:val="000000"/>
                <w:spacing w:val="-4"/>
                <w:kern w:val="0"/>
                <w:szCs w:val="21"/>
              </w:rPr>
            </w:pPr>
            <w:r>
              <w:rPr>
                <w:rFonts w:hint="eastAsia"/>
                <w:color w:val="000000"/>
                <w:spacing w:val="-4"/>
                <w:kern w:val="0"/>
                <w:szCs w:val="21"/>
              </w:rPr>
              <w:t>《江苏省广告条例》第八条 广告使用的语言文字应当清晰、准确，符合国家通用语言文字的规范和标准。</w:t>
            </w:r>
          </w:p>
          <w:p w14:paraId="3B924C38">
            <w:pPr>
              <w:shd w:val="clear" w:color="auto" w:fill="FFFFFF"/>
              <w:overflowPunct w:val="0"/>
              <w:adjustRightInd w:val="0"/>
              <w:snapToGrid w:val="0"/>
              <w:rPr>
                <w:rFonts w:hint="eastAsia"/>
                <w:color w:val="000000"/>
                <w:spacing w:val="-4"/>
                <w:kern w:val="0"/>
                <w:szCs w:val="21"/>
              </w:rPr>
            </w:pPr>
            <w:r>
              <w:rPr>
                <w:rFonts w:hint="eastAsia"/>
                <w:color w:val="000000"/>
                <w:spacing w:val="-4"/>
                <w:kern w:val="0"/>
                <w:szCs w:val="21"/>
              </w:rPr>
              <w:t>广告中使用的数字、标点符号和计量单位等，应当符合国家标准和有关规定。</w:t>
            </w:r>
          </w:p>
          <w:p w14:paraId="35102C24">
            <w:pPr>
              <w:shd w:val="clear" w:color="auto" w:fill="FFFFFF"/>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第五十三条 违反本条例第八条规定，广告使用的语言文字、数字、标点符号和计量单位等不符合国家有关规范、标准和规定的，由市场监督管理部门责令广告发布者限期改正，给予警告。</w:t>
            </w:r>
          </w:p>
        </w:tc>
        <w:tc>
          <w:tcPr>
            <w:tcW w:w="2017" w:type="dxa"/>
            <w:shd w:val="clear" w:color="auto" w:fill="auto"/>
            <w:noWrap w:val="0"/>
            <w:vAlign w:val="center"/>
          </w:tcPr>
          <w:p w14:paraId="1B485261">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197A12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4" w:hRule="atLeast"/>
        </w:trPr>
        <w:tc>
          <w:tcPr>
            <w:tcW w:w="432" w:type="dxa"/>
            <w:noWrap w:val="0"/>
            <w:vAlign w:val="center"/>
          </w:tcPr>
          <w:p w14:paraId="3BDDC92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17</w:t>
            </w:r>
          </w:p>
        </w:tc>
        <w:tc>
          <w:tcPr>
            <w:tcW w:w="3112" w:type="dxa"/>
            <w:shd w:val="clear" w:color="auto" w:fill="auto"/>
            <w:noWrap w:val="0"/>
            <w:vAlign w:val="center"/>
          </w:tcPr>
          <w:p w14:paraId="40C7A2D9">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在广告中使用绝对化用语</w:t>
            </w:r>
          </w:p>
        </w:tc>
        <w:tc>
          <w:tcPr>
            <w:tcW w:w="2693" w:type="dxa"/>
            <w:shd w:val="clear" w:color="auto" w:fill="auto"/>
            <w:noWrap w:val="0"/>
            <w:vAlign w:val="center"/>
          </w:tcPr>
          <w:p w14:paraId="626BA49D">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同时具备以下条件的：</w:t>
            </w:r>
          </w:p>
          <w:p w14:paraId="7DFA35D6">
            <w:pPr>
              <w:overflowPunct w:val="0"/>
              <w:adjustRightInd w:val="0"/>
              <w:snapToGrid w:val="0"/>
              <w:jc w:val="left"/>
              <w:textAlignment w:val="center"/>
              <w:rPr>
                <w:rFonts w:hint="eastAsia" w:ascii="宋体" w:hAnsi="宋体"/>
                <w:color w:val="000000"/>
                <w:spacing w:val="8"/>
              </w:rPr>
            </w:pPr>
            <w:r>
              <w:rPr>
                <w:rFonts w:hint="eastAsia" w:ascii="宋体" w:hAnsi="宋体"/>
                <w:color w:val="000000"/>
                <w:spacing w:val="8"/>
              </w:rPr>
              <w:t>1.初次违法；</w:t>
            </w:r>
          </w:p>
          <w:p w14:paraId="52CF3BAF">
            <w:pPr>
              <w:overflowPunct w:val="0"/>
              <w:adjustRightInd w:val="0"/>
              <w:snapToGrid w:val="0"/>
              <w:jc w:val="left"/>
              <w:textAlignment w:val="center"/>
              <w:rPr>
                <w:rFonts w:hint="eastAsia" w:ascii="宋体" w:hAnsi="宋体"/>
                <w:color w:val="000000"/>
                <w:spacing w:val="8"/>
              </w:rPr>
            </w:pPr>
            <w:r>
              <w:rPr>
                <w:rFonts w:hint="eastAsia" w:ascii="宋体" w:hAnsi="宋体"/>
                <w:color w:val="000000"/>
                <w:spacing w:val="8"/>
              </w:rPr>
              <w:t>2.危害后果轻微；</w:t>
            </w:r>
          </w:p>
          <w:p w14:paraId="2F26BD4F">
            <w:pPr>
              <w:overflowPunct w:val="0"/>
              <w:adjustRightInd w:val="0"/>
              <w:snapToGrid w:val="0"/>
              <w:jc w:val="left"/>
              <w:textAlignment w:val="center"/>
              <w:rPr>
                <w:rFonts w:hint="eastAsia" w:ascii="宋体" w:hAnsi="宋体"/>
                <w:color w:val="000000"/>
                <w:spacing w:val="8"/>
              </w:rPr>
            </w:pPr>
            <w:r>
              <w:rPr>
                <w:rFonts w:hint="eastAsia" w:ascii="宋体" w:hAnsi="宋体"/>
                <w:color w:val="000000"/>
                <w:spacing w:val="8"/>
              </w:rPr>
              <w:t>3.及时改正。</w:t>
            </w:r>
          </w:p>
          <w:p w14:paraId="05704516">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p>
        </w:tc>
        <w:tc>
          <w:tcPr>
            <w:tcW w:w="5812" w:type="dxa"/>
            <w:shd w:val="clear" w:color="auto" w:fill="auto"/>
            <w:noWrap w:val="0"/>
            <w:vAlign w:val="center"/>
          </w:tcPr>
          <w:p w14:paraId="2EEE5EF1">
            <w:pPr>
              <w:shd w:val="clear" w:color="auto" w:fill="FFFFFF"/>
              <w:overflowPunct w:val="0"/>
              <w:adjustRightInd w:val="0"/>
              <w:snapToGrid w:val="0"/>
              <w:rPr>
                <w:rFonts w:hint="eastAsia"/>
                <w:color w:val="000000"/>
                <w:spacing w:val="-4"/>
                <w:kern w:val="0"/>
                <w:szCs w:val="21"/>
              </w:rPr>
            </w:pPr>
            <w:r>
              <w:rPr>
                <w:rFonts w:hint="eastAsia"/>
                <w:color w:val="000000"/>
                <w:spacing w:val="-4"/>
                <w:kern w:val="0"/>
                <w:szCs w:val="21"/>
              </w:rPr>
              <w:t>《广告法》第九条第三项  广告不得有下列情形：（三）使用“国家级”、“最高级”、“最佳”等用语；</w:t>
            </w:r>
          </w:p>
          <w:p w14:paraId="1C7DD375">
            <w:pPr>
              <w:shd w:val="clear" w:color="auto" w:fill="FFFFFF"/>
              <w:overflowPunct w:val="0"/>
              <w:adjustRightInd w:val="0"/>
              <w:snapToGrid w:val="0"/>
              <w:rPr>
                <w:rFonts w:hint="eastAsia"/>
                <w:color w:val="000000"/>
                <w:spacing w:val="-4"/>
                <w:kern w:val="0"/>
                <w:szCs w:val="21"/>
              </w:rPr>
            </w:pPr>
            <w:r>
              <w:rPr>
                <w:rFonts w:hint="eastAsia"/>
                <w:color w:val="000000"/>
                <w:spacing w:val="-4"/>
                <w:kern w:val="0"/>
                <w:szCs w:val="21"/>
              </w:rPr>
              <w:t>《广告法》第五十七条第一项  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一）发布有本法第九条、第十条规定的禁止情形的广告的；</w:t>
            </w:r>
          </w:p>
          <w:p w14:paraId="3E467137">
            <w:pPr>
              <w:shd w:val="clear" w:color="auto" w:fill="FFFFFF"/>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《江苏省广告条例》第五十九条  有下列情形之一，违法事实清楚，当场可以查实，且当事人及时改正，主动消除或者减轻危害后果的，依法从轻、减轻处罚；违法行为轻微并及时纠正，没有造成危害后果的，依法不予处罚：（一）广告主在其经营场所或者利用自有媒体发布自有商品或者服务广告使用"国家级""最高级""最佳"等用语的；</w:t>
            </w:r>
          </w:p>
        </w:tc>
        <w:tc>
          <w:tcPr>
            <w:tcW w:w="2017" w:type="dxa"/>
            <w:shd w:val="clear" w:color="auto" w:fill="auto"/>
            <w:noWrap w:val="0"/>
            <w:vAlign w:val="center"/>
          </w:tcPr>
          <w:p w14:paraId="2896BDCC">
            <w:pPr>
              <w:overflowPunct w:val="0"/>
              <w:adjustRightInd w:val="0"/>
              <w:snapToGrid w:val="0"/>
              <w:jc w:val="left"/>
              <w:rPr>
                <w:rFonts w:hint="eastAsia" w:asciiTheme="minorHAnsi" w:hAnsiTheme="minorHAnsi" w:eastAsiaTheme="minorEastAsia" w:cstheme="minorBidi"/>
                <w:b/>
                <w:color w:val="000000"/>
                <w:spacing w:val="-4"/>
                <w:kern w:val="2"/>
                <w:sz w:val="21"/>
                <w:szCs w:val="21"/>
                <w:lang w:val="en-US" w:eastAsia="zh-CN" w:bidi="ar-SA"/>
              </w:rPr>
            </w:pPr>
            <w:r>
              <w:rPr>
                <w:rFonts w:hint="eastAsia"/>
                <w:color w:val="000000"/>
                <w:spacing w:val="-4"/>
                <w:kern w:val="0"/>
                <w:szCs w:val="21"/>
              </w:rPr>
              <w:t>苏州市市场监督管理局及各市（区）市场监督管理局</w:t>
            </w:r>
          </w:p>
        </w:tc>
      </w:tr>
      <w:tr w14:paraId="4FE141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4" w:hRule="atLeast"/>
        </w:trPr>
        <w:tc>
          <w:tcPr>
            <w:tcW w:w="432" w:type="dxa"/>
            <w:noWrap w:val="0"/>
            <w:vAlign w:val="center"/>
          </w:tcPr>
          <w:p w14:paraId="4A0B9F2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18</w:t>
            </w:r>
          </w:p>
        </w:tc>
        <w:tc>
          <w:tcPr>
            <w:tcW w:w="3112" w:type="dxa"/>
            <w:shd w:val="clear" w:color="auto" w:fill="auto"/>
            <w:noWrap w:val="0"/>
            <w:vAlign w:val="center"/>
          </w:tcPr>
          <w:p w14:paraId="4CCCED4D">
            <w:pPr>
              <w:overflowPunct w:val="0"/>
              <w:adjustRightInd w:val="0"/>
              <w:snapToGrid w:val="0"/>
              <w:textAlignment w:val="center"/>
              <w:rPr>
                <w:rFonts w:hint="eastAsia" w:ascii="宋体" w:hAnsi="宋体" w:eastAsiaTheme="minorEastAsia" w:cstheme="minorBidi"/>
                <w:color w:val="FF0000"/>
                <w:spacing w:val="8"/>
                <w:kern w:val="2"/>
                <w:sz w:val="21"/>
                <w:szCs w:val="22"/>
                <w:lang w:val="en-US" w:eastAsia="zh-CN" w:bidi="ar-SA"/>
              </w:rPr>
            </w:pPr>
            <w:r>
              <w:rPr>
                <w:rFonts w:hint="eastAsia"/>
                <w:color w:val="000000"/>
                <w:spacing w:val="-4"/>
                <w:kern w:val="0"/>
                <w:szCs w:val="21"/>
              </w:rPr>
              <w:t>商品经营者在其经营场所、自设网站或者拥有合法使用权的其他媒介发布的广告中使用绝对化用语</w:t>
            </w:r>
          </w:p>
        </w:tc>
        <w:tc>
          <w:tcPr>
            <w:tcW w:w="2693" w:type="dxa"/>
            <w:shd w:val="clear" w:color="auto" w:fill="auto"/>
            <w:noWrap w:val="0"/>
            <w:vAlign w:val="center"/>
          </w:tcPr>
          <w:p w14:paraId="064BEE58">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持续时间短或者浏览人数少，没有造成危害后果并及时改正的，依法不予行政处罚。</w:t>
            </w:r>
          </w:p>
        </w:tc>
        <w:tc>
          <w:tcPr>
            <w:tcW w:w="5812" w:type="dxa"/>
            <w:shd w:val="clear" w:color="auto" w:fill="auto"/>
            <w:noWrap w:val="0"/>
            <w:vAlign w:val="center"/>
          </w:tcPr>
          <w:p w14:paraId="3A265495">
            <w:pPr>
              <w:shd w:val="clear" w:color="auto" w:fill="FFFFFF"/>
              <w:overflowPunct w:val="0"/>
              <w:adjustRightInd w:val="0"/>
              <w:snapToGrid w:val="0"/>
              <w:rPr>
                <w:rFonts w:hint="eastAsia"/>
                <w:color w:val="000000"/>
                <w:spacing w:val="-4"/>
                <w:kern w:val="0"/>
                <w:szCs w:val="21"/>
              </w:rPr>
            </w:pPr>
            <w:r>
              <w:rPr>
                <w:rFonts w:hint="eastAsia"/>
                <w:color w:val="000000"/>
                <w:spacing w:val="-4"/>
                <w:kern w:val="0"/>
                <w:szCs w:val="21"/>
              </w:rPr>
              <w:t>《广告法》第九条第三项  广告不得有下列情形：（三）使用“国家级”、“最高级”、“最佳”等用语；</w:t>
            </w:r>
          </w:p>
          <w:p w14:paraId="431A41FF">
            <w:pPr>
              <w:shd w:val="clear" w:color="auto" w:fill="FFFFFF"/>
              <w:overflowPunct w:val="0"/>
              <w:adjustRightInd w:val="0"/>
              <w:snapToGrid w:val="0"/>
              <w:rPr>
                <w:rFonts w:hint="eastAsia"/>
                <w:color w:val="000000"/>
                <w:spacing w:val="-4"/>
                <w:kern w:val="0"/>
                <w:szCs w:val="21"/>
              </w:rPr>
            </w:pPr>
            <w:r>
              <w:rPr>
                <w:rFonts w:hint="eastAsia"/>
                <w:color w:val="000000"/>
                <w:spacing w:val="-4"/>
                <w:kern w:val="0"/>
                <w:szCs w:val="21"/>
              </w:rPr>
              <w:t>《广告法》第五十七条第一项  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一）发布有本法第九条、第十条规定的禁止情形的广告的；</w:t>
            </w:r>
          </w:p>
          <w:p w14:paraId="33D2F232">
            <w:pPr>
              <w:shd w:val="clear" w:color="auto" w:fill="FFFFFF"/>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《江苏省广告条例》第五十九条  有下列情形之一，违法事实清楚，当场可以查实，且当事人及时改正，主动消除或者减轻危害后果的，依法从轻、减轻处罚；违法行为轻微并及时纠正，没有造成危害后果的，依法不予处罚：（一）广告主在其经营场所或者利用自有媒体发布自有商品或者服务广告使用"国家级""最高级""最佳"等用语的；</w:t>
            </w:r>
          </w:p>
        </w:tc>
        <w:tc>
          <w:tcPr>
            <w:tcW w:w="2017" w:type="dxa"/>
            <w:shd w:val="clear" w:color="auto" w:fill="auto"/>
            <w:noWrap w:val="0"/>
            <w:vAlign w:val="center"/>
          </w:tcPr>
          <w:p w14:paraId="3B486E4E">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3928D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32" w:type="dxa"/>
            <w:noWrap w:val="0"/>
            <w:vAlign w:val="center"/>
          </w:tcPr>
          <w:p w14:paraId="51587A7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19</w:t>
            </w:r>
          </w:p>
        </w:tc>
        <w:tc>
          <w:tcPr>
            <w:tcW w:w="3112" w:type="dxa"/>
            <w:shd w:val="clear" w:color="auto" w:fill="auto"/>
            <w:noWrap w:val="0"/>
            <w:vAlign w:val="center"/>
          </w:tcPr>
          <w:p w14:paraId="210FFF2A">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发布的广告未显著标明“广告”字样</w:t>
            </w:r>
          </w:p>
        </w:tc>
        <w:tc>
          <w:tcPr>
            <w:tcW w:w="2693" w:type="dxa"/>
            <w:shd w:val="clear" w:color="auto" w:fill="auto"/>
            <w:noWrap w:val="0"/>
            <w:vAlign w:val="center"/>
          </w:tcPr>
          <w:p w14:paraId="7253452F">
            <w:pPr>
              <w:rPr>
                <w:rFonts w:hint="eastAsia"/>
                <w:color w:val="000000"/>
                <w:spacing w:val="-4"/>
                <w:kern w:val="0"/>
                <w:szCs w:val="21"/>
              </w:rPr>
            </w:pPr>
            <w:r>
              <w:rPr>
                <w:rFonts w:hint="eastAsia"/>
                <w:color w:val="000000"/>
                <w:spacing w:val="-4"/>
                <w:kern w:val="0"/>
                <w:szCs w:val="21"/>
              </w:rPr>
              <w:t>同时具备以下条件：</w:t>
            </w:r>
          </w:p>
          <w:p w14:paraId="742B1895">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1.通过大众传播媒介首次发布;</w:t>
            </w:r>
          </w:p>
          <w:p w14:paraId="017A53DE">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2.能够使消费者辨明其为广告;</w:t>
            </w:r>
          </w:p>
          <w:p w14:paraId="1E67EF4B">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3.及时纠正;</w:t>
            </w:r>
          </w:p>
          <w:p w14:paraId="4BB84FA8">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4.没有造成危害后果的。</w:t>
            </w:r>
          </w:p>
        </w:tc>
        <w:tc>
          <w:tcPr>
            <w:tcW w:w="5812" w:type="dxa"/>
            <w:shd w:val="clear" w:color="auto" w:fill="auto"/>
            <w:noWrap w:val="0"/>
            <w:vAlign w:val="center"/>
          </w:tcPr>
          <w:p w14:paraId="3BD93806">
            <w:pPr>
              <w:shd w:val="clear" w:color="auto" w:fill="FFFFFF"/>
              <w:overflowPunct w:val="0"/>
              <w:adjustRightInd w:val="0"/>
              <w:snapToGrid w:val="0"/>
              <w:rPr>
                <w:rFonts w:hint="eastAsia"/>
                <w:color w:val="000000"/>
                <w:spacing w:val="-4"/>
                <w:szCs w:val="21"/>
              </w:rPr>
            </w:pPr>
            <w:r>
              <w:rPr>
                <w:rFonts w:hint="eastAsia"/>
                <w:color w:val="000000"/>
                <w:spacing w:val="-4"/>
                <w:szCs w:val="21"/>
              </w:rPr>
              <w:t>《广告法》第十四条 广告应当具有可识别性，能够使消费者辨明其为广告。</w:t>
            </w:r>
            <w:r>
              <w:rPr>
                <w:rFonts w:hint="eastAsia"/>
                <w:color w:val="000000"/>
                <w:spacing w:val="-4"/>
                <w:szCs w:val="21"/>
              </w:rPr>
              <w:br w:type="textWrapping"/>
            </w:r>
            <w:r>
              <w:rPr>
                <w:rFonts w:hint="eastAsia"/>
                <w:color w:val="000000"/>
                <w:spacing w:val="-4"/>
                <w:szCs w:val="21"/>
              </w:rPr>
              <w:t>　　大众传播媒介不得以新闻报道形式变相发布广告。通过大众传播媒介发布的广告应当显著标明“广告”，与其他非广告信息相区别，不得使消费者产生误解。</w:t>
            </w:r>
            <w:r>
              <w:rPr>
                <w:rFonts w:hint="eastAsia"/>
                <w:color w:val="000000"/>
                <w:spacing w:val="-4"/>
                <w:szCs w:val="21"/>
              </w:rPr>
              <w:br w:type="textWrapping"/>
            </w:r>
            <w:r>
              <w:rPr>
                <w:rFonts w:hint="eastAsia"/>
                <w:color w:val="000000"/>
                <w:spacing w:val="-4"/>
                <w:szCs w:val="21"/>
              </w:rPr>
              <w:t>　　广播电台、电视台发布广告，应当遵守国务院有关部门关于时长、方式的规定，并应当对广告时长作出明显提示。</w:t>
            </w:r>
          </w:p>
          <w:p w14:paraId="6B7CC45D">
            <w:pPr>
              <w:shd w:val="clear" w:color="auto" w:fill="FFFFFF"/>
              <w:overflowPunct w:val="0"/>
              <w:adjustRightInd w:val="0"/>
              <w:snapToGrid w:val="0"/>
              <w:rPr>
                <w:rFonts w:hint="eastAsia"/>
                <w:color w:val="000000"/>
                <w:spacing w:val="-4"/>
                <w:szCs w:val="21"/>
              </w:rPr>
            </w:pPr>
            <w:r>
              <w:rPr>
                <w:rFonts w:hint="eastAsia"/>
                <w:color w:val="000000"/>
                <w:spacing w:val="-4"/>
                <w:szCs w:val="21"/>
              </w:rPr>
              <w:t>《广告法》第五十九条第三款 广告违反本法第十四条规定，不具有可识别性的，或者违反本法第十九条规定，变相发布医疗、药品、医疗器械、保健食品广告的，由市场监督管理部门责令改正，对广告发布者处十万元以下的罚款。</w:t>
            </w:r>
          </w:p>
          <w:p w14:paraId="524B60D3">
            <w:pPr>
              <w:shd w:val="clear" w:color="auto" w:fill="FFFFFF"/>
              <w:overflowPunct w:val="0"/>
              <w:adjustRightInd w:val="0"/>
              <w:snapToGrid w:val="0"/>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《江苏省广告条例》第五十九条  有下列情形之一，违法事实清楚，当场可以查实，且当事人及时改正，主动消除或者减轻危害后果的，依法从轻、减轻处罚；违法行为轻微并及时纠正，没有造成危害后果的，依法不予处罚： （二）通过大众传播媒介首次发布的广告未显著标明"广告"字样，但能够使消费者辨明其为广告的。</w:t>
            </w:r>
          </w:p>
        </w:tc>
        <w:tc>
          <w:tcPr>
            <w:tcW w:w="2017" w:type="dxa"/>
            <w:shd w:val="clear" w:color="auto" w:fill="auto"/>
            <w:noWrap w:val="0"/>
            <w:vAlign w:val="center"/>
          </w:tcPr>
          <w:p w14:paraId="3EA4EE6A">
            <w:pPr>
              <w:overflowPunct w:val="0"/>
              <w:adjustRightInd w:val="0"/>
              <w:snapToGrid w:val="0"/>
              <w:jc w:val="left"/>
              <w:rPr>
                <w:rFonts w:hint="eastAsia" w:asciiTheme="minorHAnsi" w:hAnsiTheme="minorHAnsi" w:eastAsiaTheme="minorEastAsia" w:cstheme="minorBidi"/>
                <w:b/>
                <w:color w:val="000000"/>
                <w:spacing w:val="-4"/>
                <w:kern w:val="2"/>
                <w:sz w:val="21"/>
                <w:szCs w:val="21"/>
                <w:lang w:val="en-US" w:eastAsia="zh-CN" w:bidi="ar-SA"/>
              </w:rPr>
            </w:pPr>
            <w:r>
              <w:rPr>
                <w:rFonts w:hint="eastAsia"/>
                <w:color w:val="000000"/>
                <w:spacing w:val="-4"/>
                <w:kern w:val="0"/>
                <w:szCs w:val="21"/>
              </w:rPr>
              <w:t>苏州市市场监督管理局及各市（区）市场监督管理局</w:t>
            </w:r>
          </w:p>
        </w:tc>
      </w:tr>
      <w:tr w14:paraId="6FAEC8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41" w:hRule="atLeast"/>
        </w:trPr>
        <w:tc>
          <w:tcPr>
            <w:tcW w:w="432" w:type="dxa"/>
            <w:noWrap w:val="0"/>
            <w:vAlign w:val="center"/>
          </w:tcPr>
          <w:p w14:paraId="24BA8CC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20</w:t>
            </w:r>
          </w:p>
        </w:tc>
        <w:tc>
          <w:tcPr>
            <w:tcW w:w="3112" w:type="dxa"/>
            <w:shd w:val="clear" w:color="auto" w:fill="auto"/>
            <w:noWrap w:val="0"/>
            <w:vAlign w:val="center"/>
          </w:tcPr>
          <w:p w14:paraId="035F9099">
            <w:pPr>
              <w:overflowPunct w:val="0"/>
              <w:adjustRightInd w:val="0"/>
              <w:snapToGrid w:val="0"/>
              <w:textAlignment w:val="center"/>
              <w:rPr>
                <w:rFonts w:hint="eastAsia" w:asciiTheme="minorHAnsi" w:hAnsiTheme="minorHAnsi" w:eastAsiaTheme="minorEastAsia" w:cstheme="minorBidi"/>
                <w:color w:val="FF0000"/>
                <w:spacing w:val="-4"/>
                <w:kern w:val="0"/>
                <w:sz w:val="21"/>
                <w:szCs w:val="21"/>
                <w:lang w:val="en-US" w:eastAsia="zh-CN" w:bidi="ar-SA"/>
              </w:rPr>
            </w:pPr>
            <w:r>
              <w:rPr>
                <w:rFonts w:hint="eastAsia"/>
                <w:color w:val="000000"/>
                <w:spacing w:val="-4"/>
                <w:kern w:val="0"/>
                <w:szCs w:val="21"/>
              </w:rPr>
              <w:t>酒类广告出现饮酒的动作</w:t>
            </w:r>
          </w:p>
        </w:tc>
        <w:tc>
          <w:tcPr>
            <w:tcW w:w="2693" w:type="dxa"/>
            <w:shd w:val="clear" w:color="auto" w:fill="auto"/>
            <w:noWrap w:val="0"/>
            <w:vAlign w:val="center"/>
          </w:tcPr>
          <w:p w14:paraId="40E8CA61">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w:t>
            </w:r>
          </w:p>
          <w:p w14:paraId="0AD4645B">
            <w:pPr>
              <w:overflowPunct w:val="0"/>
              <w:adjustRightInd w:val="0"/>
              <w:snapToGrid w:val="0"/>
              <w:jc w:val="left"/>
              <w:rPr>
                <w:color w:val="000000"/>
                <w:spacing w:val="-4"/>
                <w:kern w:val="0"/>
                <w:szCs w:val="21"/>
              </w:rPr>
            </w:pPr>
            <w:r>
              <w:rPr>
                <w:rFonts w:hint="eastAsia"/>
                <w:color w:val="000000"/>
                <w:spacing w:val="-4"/>
                <w:kern w:val="0"/>
                <w:szCs w:val="21"/>
              </w:rPr>
              <w:t>1.初次违法；</w:t>
            </w:r>
          </w:p>
          <w:p w14:paraId="58A31162">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2.广告仅在广告主自有经营场所发布。</w:t>
            </w:r>
          </w:p>
        </w:tc>
        <w:tc>
          <w:tcPr>
            <w:tcW w:w="5812" w:type="dxa"/>
            <w:shd w:val="clear" w:color="auto" w:fill="auto"/>
            <w:noWrap w:val="0"/>
            <w:vAlign w:val="center"/>
          </w:tcPr>
          <w:p w14:paraId="65E6A312">
            <w:pPr>
              <w:widowControl/>
              <w:shd w:val="clear" w:color="auto" w:fill="FFFFFF"/>
              <w:spacing w:line="360" w:lineRule="atLeast"/>
              <w:jc w:val="left"/>
              <w:rPr>
                <w:color w:val="000000"/>
                <w:spacing w:val="-4"/>
                <w:kern w:val="0"/>
                <w:szCs w:val="21"/>
              </w:rPr>
            </w:pPr>
            <w:r>
              <w:rPr>
                <w:rFonts w:hint="eastAsia"/>
                <w:color w:val="000000"/>
                <w:spacing w:val="-4"/>
                <w:kern w:val="0"/>
                <w:szCs w:val="21"/>
              </w:rPr>
              <w:t xml:space="preserve">《广告法》第二十三条第（二）项 </w:t>
            </w:r>
            <w:r>
              <w:rPr>
                <w:color w:val="000000"/>
                <w:spacing w:val="-4"/>
                <w:kern w:val="0"/>
                <w:szCs w:val="21"/>
              </w:rPr>
              <w:t xml:space="preserve"> 酒类广告不得含有下列内容：</w:t>
            </w:r>
          </w:p>
          <w:p w14:paraId="428291FD">
            <w:pPr>
              <w:widowControl/>
              <w:shd w:val="clear" w:color="auto" w:fill="FFFFFF"/>
              <w:spacing w:line="360" w:lineRule="atLeast"/>
              <w:jc w:val="left"/>
              <w:rPr>
                <w:color w:val="000000"/>
                <w:spacing w:val="-4"/>
                <w:kern w:val="0"/>
                <w:szCs w:val="21"/>
              </w:rPr>
            </w:pPr>
            <w:r>
              <w:rPr>
                <w:color w:val="000000"/>
                <w:spacing w:val="-4"/>
                <w:kern w:val="0"/>
                <w:szCs w:val="21"/>
              </w:rPr>
              <w:t>（一）诱导、怂恿饮酒或者宣传无节制饮酒；</w:t>
            </w:r>
          </w:p>
          <w:p w14:paraId="05796B40">
            <w:pPr>
              <w:widowControl/>
              <w:shd w:val="clear" w:color="auto" w:fill="FFFFFF"/>
              <w:spacing w:line="360" w:lineRule="atLeast"/>
              <w:jc w:val="left"/>
              <w:rPr>
                <w:color w:val="000000"/>
                <w:spacing w:val="-4"/>
                <w:kern w:val="0"/>
                <w:szCs w:val="21"/>
              </w:rPr>
            </w:pPr>
            <w:r>
              <w:rPr>
                <w:color w:val="000000"/>
                <w:spacing w:val="-4"/>
                <w:kern w:val="0"/>
                <w:szCs w:val="21"/>
              </w:rPr>
              <w:t>（二）出现饮酒的动作；</w:t>
            </w:r>
          </w:p>
          <w:p w14:paraId="493EBF79">
            <w:pPr>
              <w:widowControl/>
              <w:shd w:val="clear" w:color="auto" w:fill="FFFFFF"/>
              <w:spacing w:line="360" w:lineRule="atLeast"/>
              <w:jc w:val="left"/>
              <w:rPr>
                <w:color w:val="000000"/>
                <w:spacing w:val="-4"/>
                <w:kern w:val="0"/>
                <w:szCs w:val="21"/>
              </w:rPr>
            </w:pPr>
            <w:r>
              <w:rPr>
                <w:color w:val="000000"/>
                <w:spacing w:val="-4"/>
                <w:kern w:val="0"/>
                <w:szCs w:val="21"/>
              </w:rPr>
              <w:t>（三）表现驾驶车、船、飞机等活动；</w:t>
            </w:r>
          </w:p>
          <w:p w14:paraId="446A965E">
            <w:pPr>
              <w:widowControl/>
              <w:shd w:val="clear" w:color="auto" w:fill="FFFFFF"/>
              <w:spacing w:line="360" w:lineRule="atLeast"/>
              <w:jc w:val="left"/>
              <w:rPr>
                <w:color w:val="000000"/>
                <w:spacing w:val="-4"/>
                <w:kern w:val="0"/>
                <w:szCs w:val="21"/>
              </w:rPr>
            </w:pPr>
            <w:r>
              <w:rPr>
                <w:color w:val="000000"/>
                <w:spacing w:val="-4"/>
                <w:kern w:val="0"/>
                <w:szCs w:val="21"/>
              </w:rPr>
              <w:t>（四）明示或者暗示饮酒有消除紧张和焦虑、增加体力等功效。</w:t>
            </w:r>
          </w:p>
          <w:p w14:paraId="1A5EFA45">
            <w:pPr>
              <w:widowControl/>
              <w:shd w:val="clear" w:color="auto" w:fill="FFFFFF"/>
              <w:spacing w:line="360" w:lineRule="atLeast"/>
              <w:jc w:val="left"/>
              <w:rPr>
                <w:rFonts w:hint="eastAsia" w:ascii="Helvetica" w:hAnsi="Helvetica" w:cs="Helvetica"/>
                <w:color w:val="000000"/>
                <w:kern w:val="0"/>
                <w:szCs w:val="21"/>
              </w:rPr>
            </w:pPr>
            <w:r>
              <w:rPr>
                <w:rFonts w:hint="eastAsia"/>
                <w:color w:val="000000"/>
                <w:spacing w:val="-4"/>
                <w:kern w:val="0"/>
                <w:szCs w:val="21"/>
              </w:rPr>
              <w:t>《广告法》</w:t>
            </w:r>
            <w:r>
              <w:rPr>
                <w:rFonts w:ascii="Helvetica" w:hAnsi="Helvetica" w:cs="Helvetica"/>
                <w:color w:val="000000"/>
                <w:kern w:val="0"/>
                <w:szCs w:val="21"/>
              </w:rPr>
              <w:t>第五十八条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w:t>
            </w:r>
          </w:p>
          <w:p w14:paraId="0A8ED3F6">
            <w:pPr>
              <w:widowControl/>
              <w:shd w:val="clear" w:color="auto" w:fill="FFFFFF"/>
              <w:spacing w:line="360" w:lineRule="atLeast"/>
              <w:jc w:val="left"/>
              <w:rPr>
                <w:rFonts w:hint="eastAsia" w:ascii="Helvetica" w:hAnsi="Helvetica" w:cs="Helvetica" w:eastAsiaTheme="minorEastAsia"/>
                <w:color w:val="000000"/>
                <w:kern w:val="0"/>
                <w:sz w:val="21"/>
                <w:szCs w:val="21"/>
                <w:lang w:val="en-US" w:eastAsia="zh-CN" w:bidi="ar-SA"/>
              </w:rPr>
            </w:pPr>
            <w:r>
              <w:rPr>
                <w:rFonts w:ascii="Helvetica" w:hAnsi="Helvetica" w:cs="Helvetica"/>
                <w:color w:val="000000"/>
                <w:kern w:val="0"/>
                <w:szCs w:val="21"/>
              </w:rPr>
              <w:t>（五）违反本法第二十三条规定发布酒类广告的；</w:t>
            </w:r>
          </w:p>
        </w:tc>
        <w:tc>
          <w:tcPr>
            <w:tcW w:w="2017" w:type="dxa"/>
            <w:shd w:val="clear" w:color="auto" w:fill="auto"/>
            <w:noWrap w:val="0"/>
            <w:vAlign w:val="center"/>
          </w:tcPr>
          <w:p w14:paraId="1A8178F8">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苏州市市场监督管理局及各市（区）市场监督管理局</w:t>
            </w:r>
          </w:p>
        </w:tc>
      </w:tr>
      <w:tr w14:paraId="125F56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41" w:hRule="atLeast"/>
        </w:trPr>
        <w:tc>
          <w:tcPr>
            <w:tcW w:w="432" w:type="dxa"/>
            <w:noWrap w:val="0"/>
            <w:vAlign w:val="center"/>
          </w:tcPr>
          <w:p w14:paraId="19304ED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21</w:t>
            </w:r>
          </w:p>
        </w:tc>
        <w:tc>
          <w:tcPr>
            <w:tcW w:w="3112" w:type="dxa"/>
            <w:shd w:val="clear" w:color="auto" w:fill="auto"/>
            <w:noWrap w:val="0"/>
            <w:vAlign w:val="center"/>
          </w:tcPr>
          <w:p w14:paraId="30C0063D">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房地产广告以项目到达某一具体参照物的所需时间表示项目位置</w:t>
            </w:r>
          </w:p>
        </w:tc>
        <w:tc>
          <w:tcPr>
            <w:tcW w:w="2693" w:type="dxa"/>
            <w:shd w:val="clear" w:color="auto" w:fill="auto"/>
            <w:noWrap w:val="0"/>
            <w:vAlign w:val="center"/>
          </w:tcPr>
          <w:p w14:paraId="6227B3BE">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w:t>
            </w:r>
          </w:p>
          <w:p w14:paraId="6320B39B">
            <w:pPr>
              <w:overflowPunct w:val="0"/>
              <w:adjustRightInd w:val="0"/>
              <w:snapToGrid w:val="0"/>
              <w:jc w:val="left"/>
              <w:rPr>
                <w:color w:val="000000"/>
                <w:spacing w:val="-4"/>
                <w:kern w:val="0"/>
                <w:szCs w:val="21"/>
              </w:rPr>
            </w:pPr>
            <w:r>
              <w:rPr>
                <w:rFonts w:hint="eastAsia"/>
                <w:color w:val="000000"/>
                <w:spacing w:val="-4"/>
                <w:kern w:val="0"/>
                <w:szCs w:val="21"/>
              </w:rPr>
              <w:t>1.初次违法；</w:t>
            </w:r>
          </w:p>
          <w:p w14:paraId="5350DFAA">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2.广告仅在广告主自有经营场所发布。</w:t>
            </w:r>
          </w:p>
        </w:tc>
        <w:tc>
          <w:tcPr>
            <w:tcW w:w="5812" w:type="dxa"/>
            <w:shd w:val="clear" w:color="auto" w:fill="auto"/>
            <w:noWrap w:val="0"/>
            <w:vAlign w:val="center"/>
          </w:tcPr>
          <w:p w14:paraId="046EC656">
            <w:pPr>
              <w:widowControl/>
              <w:shd w:val="clear" w:color="auto" w:fill="FFFFFF"/>
              <w:spacing w:line="360" w:lineRule="atLeast"/>
              <w:jc w:val="left"/>
              <w:rPr>
                <w:color w:val="000000"/>
                <w:spacing w:val="-4"/>
                <w:kern w:val="0"/>
                <w:szCs w:val="21"/>
              </w:rPr>
            </w:pPr>
            <w:r>
              <w:rPr>
                <w:rFonts w:hint="eastAsia"/>
                <w:color w:val="000000"/>
                <w:spacing w:val="-4"/>
                <w:kern w:val="0"/>
                <w:szCs w:val="21"/>
              </w:rPr>
              <w:t xml:space="preserve">《广告法》第二十六条第（二）项 </w:t>
            </w:r>
            <w:r>
              <w:rPr>
                <w:color w:val="000000"/>
                <w:spacing w:val="-4"/>
                <w:kern w:val="0"/>
                <w:szCs w:val="21"/>
              </w:rPr>
              <w:t xml:space="preserve"> 房地产广告，房源信息应当真实，面积应当表明为建筑面积或者套内建筑面积，并不得含有下列内容：</w:t>
            </w:r>
          </w:p>
          <w:p w14:paraId="57040992">
            <w:pPr>
              <w:widowControl/>
              <w:shd w:val="clear" w:color="auto" w:fill="FFFFFF"/>
              <w:spacing w:line="360" w:lineRule="atLeast"/>
              <w:jc w:val="left"/>
              <w:rPr>
                <w:color w:val="000000"/>
                <w:spacing w:val="-4"/>
                <w:kern w:val="0"/>
                <w:szCs w:val="21"/>
              </w:rPr>
            </w:pPr>
            <w:r>
              <w:rPr>
                <w:color w:val="000000"/>
                <w:spacing w:val="-4"/>
                <w:kern w:val="0"/>
                <w:szCs w:val="21"/>
              </w:rPr>
              <w:t>（一）升值或者投资回报的承诺；</w:t>
            </w:r>
          </w:p>
          <w:p w14:paraId="126E968A">
            <w:pPr>
              <w:widowControl/>
              <w:shd w:val="clear" w:color="auto" w:fill="FFFFFF"/>
              <w:spacing w:line="360" w:lineRule="atLeast"/>
              <w:jc w:val="left"/>
              <w:rPr>
                <w:color w:val="000000"/>
                <w:spacing w:val="-4"/>
                <w:kern w:val="0"/>
                <w:szCs w:val="21"/>
              </w:rPr>
            </w:pPr>
            <w:r>
              <w:rPr>
                <w:color w:val="000000"/>
                <w:spacing w:val="-4"/>
                <w:kern w:val="0"/>
                <w:szCs w:val="21"/>
              </w:rPr>
              <w:t>（二）以项目到达某一具体参照物的所需时间表示项目位置；</w:t>
            </w:r>
          </w:p>
          <w:p w14:paraId="1861B03F">
            <w:pPr>
              <w:widowControl/>
              <w:shd w:val="clear" w:color="auto" w:fill="FFFFFF"/>
              <w:spacing w:line="360" w:lineRule="atLeast"/>
              <w:jc w:val="left"/>
              <w:rPr>
                <w:color w:val="000000"/>
                <w:spacing w:val="-4"/>
                <w:kern w:val="0"/>
                <w:szCs w:val="21"/>
              </w:rPr>
            </w:pPr>
            <w:r>
              <w:rPr>
                <w:color w:val="000000"/>
                <w:spacing w:val="-4"/>
                <w:kern w:val="0"/>
                <w:szCs w:val="21"/>
              </w:rPr>
              <w:t>（三）违反国家有关价格管理的规定；</w:t>
            </w:r>
          </w:p>
          <w:p w14:paraId="59264B2B">
            <w:pPr>
              <w:widowControl/>
              <w:shd w:val="clear" w:color="auto" w:fill="FFFFFF"/>
              <w:spacing w:line="360" w:lineRule="atLeast"/>
              <w:jc w:val="left"/>
              <w:rPr>
                <w:color w:val="000000"/>
                <w:spacing w:val="-4"/>
                <w:kern w:val="0"/>
                <w:szCs w:val="21"/>
              </w:rPr>
            </w:pPr>
            <w:r>
              <w:rPr>
                <w:color w:val="000000"/>
                <w:spacing w:val="-4"/>
                <w:kern w:val="0"/>
                <w:szCs w:val="21"/>
              </w:rPr>
              <w:t>（四）对规划或者建设中的交通、商业、文化教育设施以及其他市政条件作误导宣传。</w:t>
            </w:r>
          </w:p>
          <w:p w14:paraId="5527720A">
            <w:pPr>
              <w:widowControl/>
              <w:shd w:val="clear" w:color="auto" w:fill="FFFFFF"/>
              <w:spacing w:line="360" w:lineRule="atLeast"/>
              <w:jc w:val="left"/>
              <w:rPr>
                <w:rFonts w:ascii="Helvetica" w:hAnsi="Helvetica" w:cs="Helvetica"/>
                <w:color w:val="000000"/>
                <w:kern w:val="0"/>
                <w:szCs w:val="21"/>
              </w:rPr>
            </w:pPr>
            <w:r>
              <w:rPr>
                <w:rFonts w:ascii="Helvetica" w:hAnsi="Helvetica" w:cs="Helvetica"/>
                <w:color w:val="000000"/>
                <w:kern w:val="0"/>
                <w:szCs w:val="21"/>
              </w:rPr>
              <w:t>第五十八条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w:t>
            </w:r>
          </w:p>
          <w:p w14:paraId="789117D4">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ascii="Helvetica" w:hAnsi="Helvetica" w:cs="Helvetica"/>
                <w:color w:val="000000"/>
                <w:kern w:val="0"/>
                <w:szCs w:val="21"/>
              </w:rPr>
              <w:t>（八）违反本法第二十六条规定发布房地产广告的；</w:t>
            </w:r>
          </w:p>
        </w:tc>
        <w:tc>
          <w:tcPr>
            <w:tcW w:w="2017" w:type="dxa"/>
            <w:shd w:val="clear" w:color="auto" w:fill="auto"/>
            <w:noWrap w:val="0"/>
            <w:vAlign w:val="center"/>
          </w:tcPr>
          <w:p w14:paraId="34146EAF">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苏州市市场监督管理局及各市（区）市场监督管理局</w:t>
            </w:r>
          </w:p>
        </w:tc>
      </w:tr>
      <w:tr w14:paraId="6900FC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32" w:type="dxa"/>
            <w:noWrap w:val="0"/>
            <w:vAlign w:val="center"/>
          </w:tcPr>
          <w:p w14:paraId="0EAB6C7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22</w:t>
            </w:r>
          </w:p>
        </w:tc>
        <w:tc>
          <w:tcPr>
            <w:tcW w:w="3112" w:type="dxa"/>
            <w:shd w:val="clear" w:color="auto" w:fill="auto"/>
            <w:noWrap w:val="0"/>
            <w:vAlign w:val="center"/>
          </w:tcPr>
          <w:p w14:paraId="26348087">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发布涉及优惠措施的广告，未明示优惠的范围、期限和内容</w:t>
            </w:r>
          </w:p>
        </w:tc>
        <w:tc>
          <w:tcPr>
            <w:tcW w:w="2693" w:type="dxa"/>
            <w:shd w:val="clear" w:color="auto" w:fill="auto"/>
            <w:noWrap w:val="0"/>
            <w:vAlign w:val="center"/>
          </w:tcPr>
          <w:p w14:paraId="0A21FBC4">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w:t>
            </w:r>
          </w:p>
          <w:p w14:paraId="0BCE5FB5">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1.初次违法；</w:t>
            </w:r>
          </w:p>
          <w:p w14:paraId="6D6FFE99">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2.在其经营场所、自有网络店铺或者利用自有媒体发布自有商品广告；</w:t>
            </w:r>
          </w:p>
          <w:p w14:paraId="25C03043">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3.持续时间较短，或浏览人数较少，或案涉商品或者服务经营额较少；</w:t>
            </w:r>
          </w:p>
          <w:p w14:paraId="271F8DA4">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4.对消费者欺骗、误导作用较小；</w:t>
            </w:r>
          </w:p>
          <w:p w14:paraId="774AC5CA">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5.及时改正。</w:t>
            </w:r>
          </w:p>
        </w:tc>
        <w:tc>
          <w:tcPr>
            <w:tcW w:w="5812" w:type="dxa"/>
            <w:shd w:val="clear" w:color="auto" w:fill="auto"/>
            <w:noWrap w:val="0"/>
            <w:vAlign w:val="center"/>
          </w:tcPr>
          <w:p w14:paraId="4F97DB19">
            <w:pPr>
              <w:overflowPunct w:val="0"/>
              <w:adjustRightInd w:val="0"/>
              <w:snapToGrid w:val="0"/>
              <w:rPr>
                <w:rFonts w:hint="eastAsia"/>
                <w:color w:val="000000"/>
                <w:spacing w:val="-4"/>
                <w:kern w:val="0"/>
                <w:szCs w:val="21"/>
              </w:rPr>
            </w:pPr>
            <w:r>
              <w:rPr>
                <w:rFonts w:hint="eastAsia"/>
                <w:color w:val="000000"/>
                <w:spacing w:val="-4"/>
                <w:kern w:val="0"/>
                <w:szCs w:val="21"/>
              </w:rPr>
              <w:t>《江苏省广告条例》第九条第二款  涉及优惠措施的广告，应当明示优惠的范围、期限和内容。</w:t>
            </w:r>
          </w:p>
          <w:p w14:paraId="2E37148A">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第五十四条第一款　违反本条例第九条第二款至第五款规定，发布广告未明示有关内容的，由市场监督管理部门责令停止发布，对广告主处以一万元以上十万元以下的罚款。</w:t>
            </w:r>
          </w:p>
        </w:tc>
        <w:tc>
          <w:tcPr>
            <w:tcW w:w="2017" w:type="dxa"/>
            <w:shd w:val="clear" w:color="auto" w:fill="auto"/>
            <w:noWrap w:val="0"/>
            <w:vAlign w:val="center"/>
          </w:tcPr>
          <w:p w14:paraId="21914447">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8BB0A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40" w:hRule="atLeast"/>
        </w:trPr>
        <w:tc>
          <w:tcPr>
            <w:tcW w:w="432" w:type="dxa"/>
            <w:noWrap w:val="0"/>
            <w:vAlign w:val="center"/>
          </w:tcPr>
          <w:p w14:paraId="4EFCD15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23</w:t>
            </w:r>
          </w:p>
        </w:tc>
        <w:tc>
          <w:tcPr>
            <w:tcW w:w="3112" w:type="dxa"/>
            <w:shd w:val="clear" w:color="auto" w:fill="auto"/>
            <w:noWrap w:val="0"/>
            <w:vAlign w:val="center"/>
          </w:tcPr>
          <w:p w14:paraId="2FCC81B8">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发布推销有专用附件商品的广告，未明示该商品必须购买的附件</w:t>
            </w:r>
          </w:p>
        </w:tc>
        <w:tc>
          <w:tcPr>
            <w:tcW w:w="2693" w:type="dxa"/>
            <w:shd w:val="clear" w:color="auto" w:fill="auto"/>
            <w:noWrap w:val="0"/>
            <w:vAlign w:val="center"/>
          </w:tcPr>
          <w:p w14:paraId="2833782A">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63AD569C">
            <w:pPr>
              <w:overflowPunct w:val="0"/>
              <w:adjustRightInd w:val="0"/>
              <w:snapToGrid w:val="0"/>
              <w:rPr>
                <w:rFonts w:hint="eastAsia"/>
                <w:color w:val="000000"/>
                <w:spacing w:val="-4"/>
                <w:kern w:val="0"/>
                <w:szCs w:val="21"/>
              </w:rPr>
            </w:pPr>
            <w:r>
              <w:rPr>
                <w:rFonts w:hint="eastAsia"/>
                <w:color w:val="000000"/>
                <w:spacing w:val="-4"/>
                <w:kern w:val="0"/>
                <w:szCs w:val="21"/>
              </w:rPr>
              <w:t>1.初次违法；</w:t>
            </w:r>
          </w:p>
          <w:p w14:paraId="16445AA4">
            <w:pPr>
              <w:overflowPunct w:val="0"/>
              <w:adjustRightInd w:val="0"/>
              <w:snapToGrid w:val="0"/>
              <w:rPr>
                <w:rFonts w:hint="eastAsia"/>
                <w:color w:val="000000"/>
                <w:spacing w:val="-4"/>
                <w:kern w:val="0"/>
                <w:szCs w:val="21"/>
              </w:rPr>
            </w:pPr>
            <w:r>
              <w:rPr>
                <w:rFonts w:hint="eastAsia"/>
                <w:color w:val="000000"/>
                <w:spacing w:val="-4"/>
                <w:kern w:val="0"/>
                <w:szCs w:val="21"/>
              </w:rPr>
              <w:t>2.在其经营场所、自有网络店铺或者利用自有媒体发布自有商品广告；</w:t>
            </w:r>
          </w:p>
          <w:p w14:paraId="7EDB614A">
            <w:pPr>
              <w:overflowPunct w:val="0"/>
              <w:adjustRightInd w:val="0"/>
              <w:snapToGrid w:val="0"/>
              <w:rPr>
                <w:rFonts w:hint="eastAsia"/>
                <w:color w:val="000000"/>
                <w:spacing w:val="-4"/>
                <w:kern w:val="0"/>
                <w:szCs w:val="21"/>
              </w:rPr>
            </w:pPr>
            <w:r>
              <w:rPr>
                <w:rFonts w:hint="eastAsia"/>
                <w:color w:val="000000"/>
                <w:spacing w:val="-4"/>
                <w:kern w:val="0"/>
                <w:szCs w:val="21"/>
              </w:rPr>
              <w:t>3.持续时间较短，或浏览人数较少，或案涉商品或者服务经营额较少；</w:t>
            </w:r>
          </w:p>
          <w:p w14:paraId="2469E516">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4.及时改正。</w:t>
            </w:r>
          </w:p>
        </w:tc>
        <w:tc>
          <w:tcPr>
            <w:tcW w:w="5812" w:type="dxa"/>
            <w:shd w:val="clear" w:color="auto" w:fill="auto"/>
            <w:noWrap w:val="0"/>
            <w:vAlign w:val="center"/>
          </w:tcPr>
          <w:p w14:paraId="6928B3CF">
            <w:pPr>
              <w:overflowPunct w:val="0"/>
              <w:adjustRightInd w:val="0"/>
              <w:snapToGrid w:val="0"/>
              <w:rPr>
                <w:rFonts w:hint="eastAsia"/>
                <w:color w:val="000000"/>
                <w:spacing w:val="-4"/>
                <w:kern w:val="0"/>
                <w:szCs w:val="21"/>
              </w:rPr>
            </w:pPr>
            <w:r>
              <w:rPr>
                <w:rFonts w:hint="eastAsia"/>
                <w:color w:val="000000"/>
                <w:spacing w:val="-4"/>
                <w:kern w:val="0"/>
                <w:szCs w:val="21"/>
              </w:rPr>
              <w:t>《江苏省广告条例》第九条第三款  推销有专用附件商品的广告，应当明示该商品必须购买的附件。</w:t>
            </w:r>
          </w:p>
          <w:p w14:paraId="44D004E3">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第五十四条第一款　违反本条例第九条第二款至第五款规定，发布广告未明示有关内容的，由市场监督管理部门责令停止发布，对广告主处以一万元以上十万元以下的罚款。</w:t>
            </w:r>
          </w:p>
        </w:tc>
        <w:tc>
          <w:tcPr>
            <w:tcW w:w="2017" w:type="dxa"/>
            <w:shd w:val="clear" w:color="auto" w:fill="auto"/>
            <w:noWrap w:val="0"/>
            <w:vAlign w:val="center"/>
          </w:tcPr>
          <w:p w14:paraId="0AAB12D9">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95FF9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41" w:hRule="atLeast"/>
        </w:trPr>
        <w:tc>
          <w:tcPr>
            <w:tcW w:w="432" w:type="dxa"/>
            <w:noWrap w:val="0"/>
            <w:vAlign w:val="center"/>
          </w:tcPr>
          <w:p w14:paraId="69A2DED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24</w:t>
            </w:r>
          </w:p>
        </w:tc>
        <w:tc>
          <w:tcPr>
            <w:tcW w:w="3112" w:type="dxa"/>
            <w:shd w:val="clear" w:color="auto" w:fill="auto"/>
            <w:noWrap w:val="0"/>
            <w:vAlign w:val="center"/>
          </w:tcPr>
          <w:p w14:paraId="125EDE28">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发布推销设备、技术、种子、种苗、种畜、种禽、种兽以及加工承揽广告，表明回收产品的，未明确回收的期限、价格、数量、质量要求等内容</w:t>
            </w:r>
          </w:p>
        </w:tc>
        <w:tc>
          <w:tcPr>
            <w:tcW w:w="2693" w:type="dxa"/>
            <w:shd w:val="clear" w:color="auto" w:fill="auto"/>
            <w:noWrap w:val="0"/>
            <w:vAlign w:val="center"/>
          </w:tcPr>
          <w:p w14:paraId="5E5758B2">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68BF6214">
            <w:pPr>
              <w:overflowPunct w:val="0"/>
              <w:adjustRightInd w:val="0"/>
              <w:snapToGrid w:val="0"/>
              <w:rPr>
                <w:rFonts w:hint="eastAsia"/>
                <w:color w:val="000000"/>
                <w:spacing w:val="-4"/>
                <w:kern w:val="0"/>
                <w:szCs w:val="21"/>
              </w:rPr>
            </w:pPr>
            <w:r>
              <w:rPr>
                <w:rFonts w:hint="eastAsia"/>
                <w:color w:val="000000"/>
                <w:spacing w:val="-4"/>
                <w:kern w:val="0"/>
                <w:szCs w:val="21"/>
              </w:rPr>
              <w:t>1.初次违法；</w:t>
            </w:r>
          </w:p>
          <w:p w14:paraId="5F11F960">
            <w:pPr>
              <w:overflowPunct w:val="0"/>
              <w:adjustRightInd w:val="0"/>
              <w:snapToGrid w:val="0"/>
              <w:rPr>
                <w:rFonts w:hint="eastAsia"/>
                <w:color w:val="000000"/>
                <w:spacing w:val="-4"/>
                <w:kern w:val="0"/>
                <w:szCs w:val="21"/>
              </w:rPr>
            </w:pPr>
            <w:r>
              <w:rPr>
                <w:rFonts w:hint="eastAsia"/>
                <w:color w:val="000000"/>
                <w:spacing w:val="-4"/>
                <w:kern w:val="0"/>
                <w:szCs w:val="21"/>
              </w:rPr>
              <w:t>2.在其经营场所、自有网络店铺或者利用自有媒体发布自有商品广告；</w:t>
            </w:r>
          </w:p>
          <w:p w14:paraId="7C7F3AD9">
            <w:pPr>
              <w:overflowPunct w:val="0"/>
              <w:adjustRightInd w:val="0"/>
              <w:snapToGrid w:val="0"/>
              <w:rPr>
                <w:rFonts w:hint="eastAsia"/>
                <w:color w:val="000000"/>
                <w:spacing w:val="-4"/>
                <w:kern w:val="0"/>
                <w:szCs w:val="21"/>
              </w:rPr>
            </w:pPr>
            <w:r>
              <w:rPr>
                <w:rFonts w:hint="eastAsia"/>
                <w:color w:val="000000"/>
                <w:spacing w:val="-4"/>
                <w:kern w:val="0"/>
                <w:szCs w:val="21"/>
              </w:rPr>
              <w:t>3.持续时间较短，或浏览人数较少，或案涉商品或者服务经营额较少；</w:t>
            </w:r>
          </w:p>
          <w:p w14:paraId="36C771F8">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4.及时改正。</w:t>
            </w:r>
          </w:p>
        </w:tc>
        <w:tc>
          <w:tcPr>
            <w:tcW w:w="5812" w:type="dxa"/>
            <w:shd w:val="clear" w:color="auto" w:fill="auto"/>
            <w:noWrap w:val="0"/>
            <w:vAlign w:val="center"/>
          </w:tcPr>
          <w:p w14:paraId="6FC3F193">
            <w:pPr>
              <w:overflowPunct w:val="0"/>
              <w:adjustRightInd w:val="0"/>
              <w:snapToGrid w:val="0"/>
              <w:rPr>
                <w:rFonts w:hint="eastAsia"/>
                <w:color w:val="000000"/>
                <w:spacing w:val="-4"/>
                <w:kern w:val="0"/>
                <w:szCs w:val="21"/>
              </w:rPr>
            </w:pPr>
            <w:r>
              <w:rPr>
                <w:rFonts w:hint="eastAsia"/>
                <w:color w:val="000000"/>
                <w:spacing w:val="-4"/>
                <w:kern w:val="0"/>
                <w:szCs w:val="21"/>
              </w:rPr>
              <w:t>《江苏省广告条例》第九条第五款  推销设备、技术、种子、种苗、种畜、种禽、种兽以及加工承揽广告，表明回收产品的，应当明确回收的期限、价格、数量、质量要求等内容。</w:t>
            </w:r>
          </w:p>
          <w:p w14:paraId="18089D58">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第五十四条第一款　违反本条例第九条第二款至第五款规定，发布广告未明示有关内容的，由市场监督管理部门责令停止发布，对广告主处以一万元以上十万元以下的罚款。</w:t>
            </w:r>
          </w:p>
        </w:tc>
        <w:tc>
          <w:tcPr>
            <w:tcW w:w="2017" w:type="dxa"/>
            <w:shd w:val="clear" w:color="auto" w:fill="auto"/>
            <w:noWrap w:val="0"/>
            <w:vAlign w:val="center"/>
          </w:tcPr>
          <w:p w14:paraId="42F81214">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8D9DA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1" w:hRule="atLeast"/>
        </w:trPr>
        <w:tc>
          <w:tcPr>
            <w:tcW w:w="432" w:type="dxa"/>
            <w:noWrap w:val="0"/>
            <w:vAlign w:val="center"/>
          </w:tcPr>
          <w:p w14:paraId="03414A4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25</w:t>
            </w:r>
          </w:p>
        </w:tc>
        <w:tc>
          <w:tcPr>
            <w:tcW w:w="3112" w:type="dxa"/>
            <w:shd w:val="clear" w:color="auto" w:fill="auto"/>
            <w:noWrap w:val="0"/>
            <w:vAlign w:val="center"/>
          </w:tcPr>
          <w:p w14:paraId="0AA239B2">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有奖销售公布的信息不全面</w:t>
            </w:r>
          </w:p>
        </w:tc>
        <w:tc>
          <w:tcPr>
            <w:tcW w:w="2693" w:type="dxa"/>
            <w:shd w:val="clear" w:color="auto" w:fill="auto"/>
            <w:noWrap w:val="0"/>
            <w:vAlign w:val="center"/>
          </w:tcPr>
          <w:p w14:paraId="3137EEFB">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5A0F083A">
            <w:pPr>
              <w:overflowPunct w:val="0"/>
              <w:adjustRightInd w:val="0"/>
              <w:snapToGrid w:val="0"/>
              <w:rPr>
                <w:rFonts w:hint="eastAsia"/>
                <w:color w:val="000000"/>
                <w:spacing w:val="-4"/>
                <w:kern w:val="0"/>
                <w:szCs w:val="21"/>
              </w:rPr>
            </w:pPr>
            <w:r>
              <w:rPr>
                <w:rFonts w:hint="eastAsia"/>
                <w:color w:val="000000"/>
                <w:spacing w:val="-4"/>
                <w:kern w:val="0"/>
                <w:szCs w:val="21"/>
              </w:rPr>
              <w:t>1.初次违法；</w:t>
            </w:r>
          </w:p>
          <w:p w14:paraId="62494721">
            <w:pPr>
              <w:overflowPunct w:val="0"/>
              <w:adjustRightInd w:val="0"/>
              <w:snapToGrid w:val="0"/>
              <w:rPr>
                <w:rFonts w:hint="eastAsia"/>
                <w:color w:val="000000"/>
                <w:spacing w:val="-4"/>
                <w:kern w:val="0"/>
                <w:szCs w:val="21"/>
              </w:rPr>
            </w:pPr>
            <w:r>
              <w:rPr>
                <w:rFonts w:hint="eastAsia"/>
                <w:color w:val="000000"/>
                <w:spacing w:val="-4"/>
                <w:kern w:val="0"/>
                <w:szCs w:val="21"/>
              </w:rPr>
              <w:t>2.缺漏的信息不属于所设奖的种类、兑奖条件、奖金金额或者奖品等影响兑奖的信息；</w:t>
            </w:r>
          </w:p>
          <w:p w14:paraId="267C3A47">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3.及时改正。</w:t>
            </w:r>
          </w:p>
        </w:tc>
        <w:tc>
          <w:tcPr>
            <w:tcW w:w="5812" w:type="dxa"/>
            <w:shd w:val="clear" w:color="auto" w:fill="auto"/>
            <w:noWrap w:val="0"/>
            <w:vAlign w:val="center"/>
          </w:tcPr>
          <w:p w14:paraId="24D6F74F">
            <w:pPr>
              <w:overflowPunct w:val="0"/>
              <w:adjustRightInd w:val="0"/>
              <w:snapToGrid w:val="0"/>
              <w:rPr>
                <w:rFonts w:hint="eastAsia"/>
                <w:color w:val="000000"/>
                <w:spacing w:val="-4"/>
                <w:kern w:val="0"/>
                <w:szCs w:val="21"/>
              </w:rPr>
            </w:pPr>
            <w:r>
              <w:rPr>
                <w:rFonts w:hint="eastAsia"/>
                <w:color w:val="000000"/>
                <w:spacing w:val="-4"/>
                <w:kern w:val="0"/>
                <w:szCs w:val="21"/>
              </w:rPr>
              <w:t>《规范促销行为暂行规定》第十三条第一款 经营者在有奖销售前，应当明确公布奖项种类、参与条件、参与方式、开奖时间、开奖方式、奖金金额或者奖品价格、奖品品名、奖品种类、奖品数量或者中奖概率、兑奖时间、兑奖条件、兑奖方式、奖品交付方式、弃奖条件、主办方及其联系方式等信息，不得变更，不得附加条件，不得影响兑奖，但有利于消费者的除外。</w:t>
            </w:r>
          </w:p>
          <w:p w14:paraId="4DAF916F">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 xml:space="preserve">《规范促销行为暂行规定》第二十七条 违反本规定第十三条第一款、第十四条、第十五条、第十六条、第十七条，由市场监督管理部门依据反不正当竞争法第二十二条的规定进行处罚。   </w:t>
            </w:r>
            <w:r>
              <w:rPr>
                <w:rFonts w:hint="eastAsia"/>
                <w:color w:val="000000"/>
                <w:spacing w:val="-4"/>
                <w:kern w:val="0"/>
                <w:szCs w:val="21"/>
              </w:rPr>
              <w:br w:type="textWrapping"/>
            </w:r>
            <w:r>
              <w:rPr>
                <w:rFonts w:hint="eastAsia"/>
                <w:color w:val="000000"/>
                <w:spacing w:val="-4"/>
                <w:kern w:val="0"/>
                <w:szCs w:val="21"/>
              </w:rPr>
              <w:t>《反不正当竞争法》第二十二条　经营者违反本法第十条规定进行有奖销售的，由监督检查部门责令停止违法行为，处五万元以上五十万元以下的罚款。</w:t>
            </w:r>
          </w:p>
        </w:tc>
        <w:tc>
          <w:tcPr>
            <w:tcW w:w="2017" w:type="dxa"/>
            <w:shd w:val="clear" w:color="auto" w:fill="auto"/>
            <w:noWrap w:val="0"/>
            <w:vAlign w:val="center"/>
          </w:tcPr>
          <w:p w14:paraId="0C4AEC72">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0BE39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09" w:hRule="atLeast"/>
        </w:trPr>
        <w:tc>
          <w:tcPr>
            <w:tcW w:w="432" w:type="dxa"/>
            <w:noWrap w:val="0"/>
            <w:vAlign w:val="center"/>
          </w:tcPr>
          <w:p w14:paraId="3067EDB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26</w:t>
            </w:r>
          </w:p>
        </w:tc>
        <w:tc>
          <w:tcPr>
            <w:tcW w:w="3112" w:type="dxa"/>
            <w:shd w:val="clear" w:color="auto" w:fill="auto"/>
            <w:noWrap w:val="0"/>
            <w:vAlign w:val="center"/>
          </w:tcPr>
          <w:p w14:paraId="30E0BF7A">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现场开奖，未随时公布超过五百元奖项的兑奖情况</w:t>
            </w:r>
          </w:p>
        </w:tc>
        <w:tc>
          <w:tcPr>
            <w:tcW w:w="2693" w:type="dxa"/>
            <w:shd w:val="clear" w:color="auto" w:fill="auto"/>
            <w:noWrap w:val="0"/>
            <w:vAlign w:val="center"/>
          </w:tcPr>
          <w:p w14:paraId="5D48EF56">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3659ACB4">
            <w:pPr>
              <w:overflowPunct w:val="0"/>
              <w:adjustRightInd w:val="0"/>
              <w:snapToGrid w:val="0"/>
              <w:rPr>
                <w:rFonts w:hint="eastAsia"/>
                <w:color w:val="000000"/>
                <w:spacing w:val="-4"/>
                <w:kern w:val="0"/>
                <w:szCs w:val="21"/>
              </w:rPr>
            </w:pPr>
            <w:r>
              <w:rPr>
                <w:rFonts w:hint="eastAsia"/>
                <w:color w:val="000000"/>
                <w:spacing w:val="-4"/>
                <w:kern w:val="0"/>
                <w:szCs w:val="21"/>
              </w:rPr>
              <w:t>1.初次违法；</w:t>
            </w:r>
          </w:p>
          <w:p w14:paraId="6F78C852">
            <w:pPr>
              <w:overflowPunct w:val="0"/>
              <w:adjustRightInd w:val="0"/>
              <w:snapToGrid w:val="0"/>
              <w:rPr>
                <w:rFonts w:hint="eastAsia"/>
                <w:color w:val="000000"/>
                <w:spacing w:val="-4"/>
                <w:kern w:val="0"/>
                <w:szCs w:val="21"/>
              </w:rPr>
            </w:pPr>
            <w:r>
              <w:rPr>
                <w:rFonts w:hint="eastAsia"/>
                <w:color w:val="000000"/>
                <w:spacing w:val="-4"/>
                <w:kern w:val="0"/>
                <w:szCs w:val="21"/>
              </w:rPr>
              <w:t>2.及时改正；</w:t>
            </w:r>
          </w:p>
          <w:p w14:paraId="3B73CE9A">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6231F112">
            <w:pPr>
              <w:overflowPunct w:val="0"/>
              <w:adjustRightInd w:val="0"/>
              <w:snapToGrid w:val="0"/>
              <w:rPr>
                <w:rFonts w:hint="eastAsia"/>
                <w:color w:val="000000"/>
                <w:spacing w:val="-4"/>
                <w:kern w:val="0"/>
                <w:szCs w:val="21"/>
              </w:rPr>
            </w:pPr>
            <w:r>
              <w:rPr>
                <w:rFonts w:hint="eastAsia"/>
                <w:color w:val="000000"/>
                <w:spacing w:val="-4"/>
                <w:kern w:val="0"/>
                <w:szCs w:val="21"/>
              </w:rPr>
              <w:t>《规范促销行为暂行规定》第十三条第二款  在现场即时开奖的有奖销售活动中，对超过五百元奖项的兑奖情况，应当随时公示。</w:t>
            </w:r>
          </w:p>
          <w:p w14:paraId="452217E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《规范促销行为暂行规定》第二十八条  违反本规定第十三条第二款、第十九条，由县级以上市场监督管理部门责令改正，可以处一万元以下罚款。</w:t>
            </w:r>
          </w:p>
        </w:tc>
        <w:tc>
          <w:tcPr>
            <w:tcW w:w="2017" w:type="dxa"/>
            <w:shd w:val="clear" w:color="auto" w:fill="auto"/>
            <w:noWrap w:val="0"/>
            <w:vAlign w:val="center"/>
          </w:tcPr>
          <w:p w14:paraId="2CC8E568">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17B9A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21" w:hRule="atLeast"/>
        </w:trPr>
        <w:tc>
          <w:tcPr>
            <w:tcW w:w="432" w:type="dxa"/>
            <w:noWrap w:val="0"/>
            <w:vAlign w:val="center"/>
          </w:tcPr>
          <w:p w14:paraId="34F6EB3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27</w:t>
            </w:r>
          </w:p>
        </w:tc>
        <w:tc>
          <w:tcPr>
            <w:tcW w:w="3112" w:type="dxa"/>
            <w:shd w:val="clear" w:color="auto" w:fill="auto"/>
            <w:noWrap w:val="0"/>
            <w:vAlign w:val="center"/>
          </w:tcPr>
          <w:p w14:paraId="1C3ADFEB">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经营者未按规定建立有奖销售档案</w:t>
            </w:r>
          </w:p>
        </w:tc>
        <w:tc>
          <w:tcPr>
            <w:tcW w:w="2693" w:type="dxa"/>
            <w:shd w:val="clear" w:color="auto" w:fill="auto"/>
            <w:noWrap w:val="0"/>
            <w:vAlign w:val="center"/>
          </w:tcPr>
          <w:p w14:paraId="59B244D3">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39E0BDC4">
            <w:pPr>
              <w:overflowPunct w:val="0"/>
              <w:adjustRightInd w:val="0"/>
              <w:snapToGrid w:val="0"/>
              <w:rPr>
                <w:rFonts w:hint="eastAsia"/>
                <w:color w:val="000000"/>
                <w:spacing w:val="-4"/>
                <w:kern w:val="0"/>
                <w:szCs w:val="21"/>
              </w:rPr>
            </w:pPr>
            <w:r>
              <w:rPr>
                <w:rFonts w:hint="eastAsia"/>
                <w:color w:val="000000"/>
                <w:spacing w:val="-4"/>
                <w:kern w:val="0"/>
                <w:szCs w:val="21"/>
              </w:rPr>
              <w:t>1.初次违法；</w:t>
            </w:r>
          </w:p>
          <w:p w14:paraId="2F07FC2A">
            <w:pPr>
              <w:overflowPunct w:val="0"/>
              <w:adjustRightInd w:val="0"/>
              <w:snapToGrid w:val="0"/>
              <w:rPr>
                <w:rFonts w:hint="eastAsia"/>
                <w:color w:val="000000"/>
                <w:spacing w:val="-4"/>
                <w:kern w:val="0"/>
                <w:szCs w:val="21"/>
              </w:rPr>
            </w:pPr>
            <w:r>
              <w:rPr>
                <w:rFonts w:hint="eastAsia"/>
                <w:color w:val="000000"/>
                <w:spacing w:val="-4"/>
                <w:kern w:val="0"/>
                <w:szCs w:val="21"/>
              </w:rPr>
              <w:t>2.及时改正；</w:t>
            </w:r>
          </w:p>
          <w:p w14:paraId="23E79653">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00700E74">
            <w:pPr>
              <w:overflowPunct w:val="0"/>
              <w:adjustRightInd w:val="0"/>
              <w:snapToGrid w:val="0"/>
              <w:rPr>
                <w:rFonts w:hint="eastAsia"/>
                <w:color w:val="000000"/>
                <w:spacing w:val="-4"/>
                <w:kern w:val="0"/>
                <w:szCs w:val="21"/>
              </w:rPr>
            </w:pPr>
            <w:r>
              <w:rPr>
                <w:rFonts w:hint="eastAsia"/>
                <w:color w:val="000000"/>
                <w:spacing w:val="-4"/>
                <w:kern w:val="0"/>
                <w:szCs w:val="21"/>
              </w:rPr>
              <w:t>《规范促销行为暂行规定》第十九条  经营者应当建立档案，如实、准确、完整地记录设奖规则、公示信息、兑奖结果、获奖人员等内容，妥善保存两年并依法接受监督检查。</w:t>
            </w:r>
          </w:p>
          <w:p w14:paraId="40D2AD2B">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第二十八条  违反本规定第十三条第二款、第十九条，由县级以上市场监督管理部门责令改正，可以处一万元以下罚款。</w:t>
            </w:r>
          </w:p>
        </w:tc>
        <w:tc>
          <w:tcPr>
            <w:tcW w:w="2017" w:type="dxa"/>
            <w:shd w:val="clear" w:color="auto" w:fill="auto"/>
            <w:noWrap w:val="0"/>
            <w:vAlign w:val="center"/>
          </w:tcPr>
          <w:p w14:paraId="3AFECADD">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21D5B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41" w:hRule="atLeast"/>
        </w:trPr>
        <w:tc>
          <w:tcPr>
            <w:tcW w:w="432" w:type="dxa"/>
            <w:noWrap w:val="0"/>
            <w:vAlign w:val="center"/>
          </w:tcPr>
          <w:p w14:paraId="7720CC4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28</w:t>
            </w:r>
          </w:p>
        </w:tc>
        <w:tc>
          <w:tcPr>
            <w:tcW w:w="3112" w:type="dxa"/>
            <w:shd w:val="clear" w:color="auto" w:fill="auto"/>
            <w:noWrap w:val="0"/>
            <w:vAlign w:val="center"/>
          </w:tcPr>
          <w:p w14:paraId="016DF2B9">
            <w:pPr>
              <w:overflowPunct w:val="0"/>
              <w:adjustRightInd w:val="0"/>
              <w:snapToGrid w:val="0"/>
              <w:jc w:val="left"/>
              <w:textAlignment w:val="center"/>
              <w:rPr>
                <w:rFonts w:hint="eastAsia" w:ascii="宋体" w:hAnsi="宋体" w:eastAsiaTheme="minorEastAsia" w:cstheme="minorBidi"/>
                <w:spacing w:val="-4"/>
                <w:kern w:val="0"/>
                <w:sz w:val="21"/>
                <w:szCs w:val="21"/>
                <w:lang w:val="en-US" w:eastAsia="zh-CN" w:bidi="ar-SA"/>
              </w:rPr>
            </w:pPr>
            <w:r>
              <w:rPr>
                <w:rFonts w:hint="eastAsia" w:ascii="宋体" w:hAnsi="宋体"/>
                <w:spacing w:val="-4"/>
                <w:kern w:val="0"/>
                <w:szCs w:val="21"/>
              </w:rPr>
              <w:t>经营者未履行优惠承诺或未在经营场所的显著位置明示促销内容</w:t>
            </w:r>
          </w:p>
        </w:tc>
        <w:tc>
          <w:tcPr>
            <w:tcW w:w="2693" w:type="dxa"/>
            <w:shd w:val="clear" w:color="auto" w:fill="auto"/>
            <w:noWrap w:val="0"/>
            <w:vAlign w:val="center"/>
          </w:tcPr>
          <w:p w14:paraId="65C8797A">
            <w:pPr>
              <w:overflowPunct w:val="0"/>
              <w:adjustRightInd w:val="0"/>
              <w:snapToGrid w:val="0"/>
              <w:rPr>
                <w:rFonts w:hint="eastAsia" w:ascii="宋体" w:hAnsi="宋体"/>
                <w:spacing w:val="-4"/>
                <w:kern w:val="0"/>
                <w:szCs w:val="21"/>
              </w:rPr>
            </w:pPr>
            <w:r>
              <w:rPr>
                <w:rFonts w:hint="eastAsia" w:ascii="宋体" w:hAnsi="宋体"/>
                <w:spacing w:val="-4"/>
                <w:kern w:val="0"/>
                <w:szCs w:val="21"/>
              </w:rPr>
              <w:t>同时具备以下条件：</w:t>
            </w:r>
          </w:p>
          <w:p w14:paraId="2B2AF7F8">
            <w:pPr>
              <w:overflowPunct w:val="0"/>
              <w:adjustRightInd w:val="0"/>
              <w:snapToGrid w:val="0"/>
              <w:rPr>
                <w:rFonts w:hint="eastAsia" w:ascii="宋体" w:hAnsi="宋体"/>
                <w:spacing w:val="-4"/>
                <w:kern w:val="0"/>
                <w:szCs w:val="21"/>
              </w:rPr>
            </w:pPr>
            <w:r>
              <w:rPr>
                <w:rFonts w:hint="eastAsia" w:ascii="宋体" w:hAnsi="宋体"/>
                <w:spacing w:val="-4"/>
                <w:kern w:val="0"/>
                <w:szCs w:val="21"/>
              </w:rPr>
              <w:t>1.初次违法；</w:t>
            </w:r>
          </w:p>
          <w:p w14:paraId="2492D1EC">
            <w:pPr>
              <w:overflowPunct w:val="0"/>
              <w:adjustRightInd w:val="0"/>
              <w:snapToGrid w:val="0"/>
              <w:rPr>
                <w:rFonts w:hint="eastAsia" w:ascii="宋体" w:hAnsi="宋体"/>
                <w:spacing w:val="-4"/>
                <w:kern w:val="0"/>
                <w:szCs w:val="21"/>
              </w:rPr>
            </w:pPr>
            <w:r>
              <w:rPr>
                <w:rFonts w:hint="eastAsia" w:ascii="宋体" w:hAnsi="宋体"/>
                <w:spacing w:val="-4"/>
                <w:kern w:val="0"/>
                <w:szCs w:val="21"/>
              </w:rPr>
              <w:t>2.及时改正；</w:t>
            </w:r>
          </w:p>
          <w:p w14:paraId="5EFB3DE8">
            <w:pPr>
              <w:overflowPunct w:val="0"/>
              <w:adjustRightInd w:val="0"/>
              <w:snapToGrid w:val="0"/>
              <w:rPr>
                <w:rFonts w:hint="eastAsia" w:ascii="宋体" w:hAnsi="宋体" w:eastAsiaTheme="minorEastAsia" w:cstheme="minorBidi"/>
                <w:spacing w:val="-4"/>
                <w:kern w:val="0"/>
                <w:sz w:val="21"/>
                <w:szCs w:val="21"/>
                <w:lang w:val="en-US" w:eastAsia="zh-CN" w:bidi="ar-SA"/>
              </w:rPr>
            </w:pPr>
            <w:r>
              <w:rPr>
                <w:rFonts w:hint="eastAsia" w:ascii="宋体" w:hAnsi="宋体"/>
                <w:spacing w:val="-4"/>
                <w:kern w:val="0"/>
                <w:szCs w:val="21"/>
              </w:rPr>
              <w:t>3.危害后果轻微。</w:t>
            </w:r>
          </w:p>
        </w:tc>
        <w:tc>
          <w:tcPr>
            <w:tcW w:w="5812" w:type="dxa"/>
            <w:shd w:val="clear" w:color="auto" w:fill="auto"/>
            <w:noWrap w:val="0"/>
            <w:vAlign w:val="center"/>
          </w:tcPr>
          <w:p w14:paraId="5F8783EB">
            <w:pPr>
              <w:overflowPunct w:val="0"/>
              <w:adjustRightInd w:val="0"/>
              <w:snapToGrid w:val="0"/>
              <w:rPr>
                <w:rFonts w:hint="eastAsia" w:ascii="宋体" w:hAnsi="宋体"/>
                <w:spacing w:val="-4"/>
                <w:kern w:val="0"/>
                <w:szCs w:val="21"/>
              </w:rPr>
            </w:pPr>
            <w:r>
              <w:rPr>
                <w:rFonts w:hint="eastAsia" w:ascii="宋体" w:hAnsi="宋体"/>
                <w:spacing w:val="-4"/>
                <w:kern w:val="0"/>
                <w:szCs w:val="21"/>
              </w:rPr>
              <w:t>《规范促销行为暂行规定》第六条  经营者通过商业广告、产品说明、销售推介、实物样品或者通知、声明、店堂告示等方式作出优惠承诺的，应当履行承诺。</w:t>
            </w:r>
          </w:p>
          <w:p w14:paraId="05DB8878">
            <w:pPr>
              <w:overflowPunct w:val="0"/>
              <w:adjustRightInd w:val="0"/>
              <w:snapToGrid w:val="0"/>
              <w:rPr>
                <w:rFonts w:hint="eastAsia" w:ascii="宋体" w:hAnsi="宋体"/>
                <w:spacing w:val="-4"/>
                <w:kern w:val="0"/>
                <w:szCs w:val="21"/>
              </w:rPr>
            </w:pPr>
            <w:r>
              <w:rPr>
                <w:rFonts w:hint="eastAsia" w:ascii="宋体" w:hAnsi="宋体"/>
                <w:spacing w:val="-4"/>
                <w:kern w:val="0"/>
                <w:szCs w:val="21"/>
              </w:rPr>
              <w:t>第二十四条 违反本规定第六条、第八条、第十条，法律法规有规定的，从其规定；法律法规没有规定的，由县级以上市场监督管理部门责令改正；可处违法所得三倍以下罚款，但最高不超过三万元；没有违法所得的，可处一万元以下罚款。</w:t>
            </w:r>
          </w:p>
          <w:p w14:paraId="4DB415DB">
            <w:pPr>
              <w:overflowPunct w:val="0"/>
              <w:adjustRightInd w:val="0"/>
              <w:snapToGrid w:val="0"/>
              <w:rPr>
                <w:rFonts w:hint="eastAsia" w:ascii="宋体" w:hAnsi="宋体"/>
                <w:spacing w:val="-4"/>
                <w:kern w:val="0"/>
                <w:szCs w:val="21"/>
              </w:rPr>
            </w:pPr>
            <w:r>
              <w:rPr>
                <w:rFonts w:hint="eastAsia" w:ascii="宋体" w:hAnsi="宋体"/>
                <w:spacing w:val="-4"/>
                <w:kern w:val="0"/>
                <w:szCs w:val="21"/>
              </w:rPr>
              <w:t>《苏州市市场价格行为监督管理办法》第十七条 </w:t>
            </w:r>
            <w:r>
              <w:rPr>
                <w:rFonts w:hint="eastAsia" w:ascii="宋体" w:hAnsi="宋体" w:cs="宋体"/>
                <w:spacing w:val="-4"/>
                <w:kern w:val="0"/>
                <w:szCs w:val="21"/>
              </w:rPr>
              <w:t>经营者开展直接或者间接降低商品或者服务价格的优惠促销活动，应当在经营场所的显著位置明示促销内容，促销内容应当包括促销的原因、方式、规则、期限、范围和相关限制性条件。</w:t>
            </w:r>
          </w:p>
          <w:p w14:paraId="14519721">
            <w:pPr>
              <w:overflowPunct w:val="0"/>
              <w:adjustRightInd w:val="0"/>
              <w:snapToGrid w:val="0"/>
              <w:rPr>
                <w:rFonts w:hint="eastAsia" w:ascii="宋体" w:hAnsi="宋体" w:eastAsiaTheme="minorEastAsia" w:cstheme="minorBidi"/>
                <w:spacing w:val="-4"/>
                <w:kern w:val="0"/>
                <w:sz w:val="21"/>
                <w:szCs w:val="21"/>
                <w:lang w:val="en-US" w:eastAsia="zh-CN" w:bidi="ar-SA"/>
              </w:rPr>
            </w:pPr>
            <w:r>
              <w:rPr>
                <w:rFonts w:hint="eastAsia" w:ascii="宋体" w:hAnsi="宋体"/>
                <w:spacing w:val="-4"/>
                <w:kern w:val="0"/>
                <w:szCs w:val="21"/>
              </w:rPr>
              <w:t>《苏州市市场价格行为监督管理办法》第二十六条 </w:t>
            </w:r>
            <w:r>
              <w:rPr>
                <w:rFonts w:hint="eastAsia" w:ascii="宋体" w:hAnsi="宋体" w:cs="宋体"/>
                <w:spacing w:val="-4"/>
                <w:kern w:val="0"/>
                <w:szCs w:val="21"/>
              </w:rPr>
              <w:t>经营者违反本办法规定，有下列情形之一的，由政府价格主管部门责令改正，可以并处</w:t>
            </w:r>
            <w:r>
              <w:rPr>
                <w:rFonts w:hint="eastAsia" w:ascii="宋体" w:hAnsi="宋体"/>
                <w:spacing w:val="-4"/>
                <w:kern w:val="0"/>
                <w:szCs w:val="21"/>
              </w:rPr>
              <w:t>1000元以上1万元以下罚款，情节严重的，处以1万元以上3万元以下罚款。</w:t>
            </w:r>
          </w:p>
        </w:tc>
        <w:tc>
          <w:tcPr>
            <w:tcW w:w="2017" w:type="dxa"/>
            <w:shd w:val="clear" w:color="auto" w:fill="auto"/>
            <w:noWrap w:val="0"/>
            <w:vAlign w:val="center"/>
          </w:tcPr>
          <w:p w14:paraId="4A149B22">
            <w:pPr>
              <w:overflowPunct w:val="0"/>
              <w:adjustRightInd w:val="0"/>
              <w:snapToGrid w:val="0"/>
              <w:jc w:val="left"/>
              <w:rPr>
                <w:rFonts w:hint="eastAsia" w:ascii="宋体" w:hAnsi="宋体" w:eastAsiaTheme="minorEastAsia" w:cstheme="minorBidi"/>
                <w:spacing w:val="-4"/>
                <w:kern w:val="0"/>
                <w:sz w:val="21"/>
                <w:szCs w:val="21"/>
                <w:lang w:val="en-US" w:eastAsia="zh-CN" w:bidi="ar-SA"/>
              </w:rPr>
            </w:pPr>
            <w:r>
              <w:rPr>
                <w:rFonts w:hint="eastAsia" w:ascii="宋体" w:hAnsi="宋体"/>
                <w:spacing w:val="-4"/>
                <w:kern w:val="0"/>
                <w:szCs w:val="21"/>
              </w:rPr>
              <w:t>苏州市市场监督管理局及各市（区）市场监督管理局</w:t>
            </w:r>
          </w:p>
        </w:tc>
      </w:tr>
      <w:tr w14:paraId="21A63D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98" w:hRule="atLeast"/>
        </w:trPr>
        <w:tc>
          <w:tcPr>
            <w:tcW w:w="432" w:type="dxa"/>
            <w:noWrap w:val="0"/>
            <w:vAlign w:val="center"/>
          </w:tcPr>
          <w:p w14:paraId="4C0D860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29</w:t>
            </w:r>
          </w:p>
        </w:tc>
        <w:tc>
          <w:tcPr>
            <w:tcW w:w="3112" w:type="dxa"/>
            <w:shd w:val="clear" w:color="auto" w:fill="auto"/>
            <w:noWrap w:val="0"/>
            <w:vAlign w:val="center"/>
          </w:tcPr>
          <w:p w14:paraId="66E370B0">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药品、医疗、医疗器械、保健食品、特殊医学用途配方食品、农药、兽药以及其他依法需要审查的广告未标注审查批准文号</w:t>
            </w:r>
          </w:p>
        </w:tc>
        <w:tc>
          <w:tcPr>
            <w:tcW w:w="2693" w:type="dxa"/>
            <w:shd w:val="clear" w:color="auto" w:fill="auto"/>
            <w:noWrap w:val="0"/>
            <w:vAlign w:val="center"/>
          </w:tcPr>
          <w:p w14:paraId="32F96E10">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39DD33F9">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1.已取得药品、医疗、医疗器械、保健食品、特殊医学用途配方食品、农药、兽药以及其他依法需要审查的广告的审查批准文号；</w:t>
            </w:r>
          </w:p>
          <w:p w14:paraId="191AAF8E">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2.及时纠正；</w:t>
            </w:r>
          </w:p>
          <w:p w14:paraId="5C56ABA4">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3.没有造成危害后果的。</w:t>
            </w:r>
          </w:p>
        </w:tc>
        <w:tc>
          <w:tcPr>
            <w:tcW w:w="5812" w:type="dxa"/>
            <w:shd w:val="clear" w:color="auto" w:fill="auto"/>
            <w:noWrap w:val="0"/>
            <w:vAlign w:val="center"/>
          </w:tcPr>
          <w:p w14:paraId="33FE0BC4">
            <w:pPr>
              <w:overflowPunct w:val="0"/>
              <w:adjustRightInd w:val="0"/>
              <w:snapToGrid w:val="0"/>
              <w:rPr>
                <w:rFonts w:hint="eastAsia"/>
                <w:color w:val="000000"/>
                <w:spacing w:val="-4"/>
                <w:kern w:val="0"/>
                <w:szCs w:val="21"/>
              </w:rPr>
            </w:pPr>
            <w:r>
              <w:rPr>
                <w:rFonts w:hint="eastAsia"/>
                <w:color w:val="000000"/>
                <w:spacing w:val="-4"/>
                <w:kern w:val="0"/>
                <w:szCs w:val="21"/>
              </w:rPr>
              <w:t>《江苏省广告条例》第九条第四款  药品、医疗、医疗器械、保健食品、特殊医学用途配方食品、农药、兽药以及其他依法需要由有关部门（以下称广告审查机关）审查的广告，应当明示广告审查批准文号。</w:t>
            </w:r>
          </w:p>
          <w:p w14:paraId="10C4E71C">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《江苏省广告条例》第五十九条  有下列情形之一，违法事实清楚，当场可以查实，且当事人及时改正，主动消除或者减轻危害后果的，依法从轻、减轻处罚；违法行为轻微并及时纠正，没有造成危害后果的，依法不予处罚： （四）已取得药品、医疗、医疗器械、保健食品、特殊医学用途配方食品、农药、兽药以及其他依法需要审查的广告的审查批准文号，但未标注的。</w:t>
            </w:r>
          </w:p>
        </w:tc>
        <w:tc>
          <w:tcPr>
            <w:tcW w:w="2017" w:type="dxa"/>
            <w:shd w:val="clear" w:color="auto" w:fill="auto"/>
            <w:noWrap w:val="0"/>
            <w:vAlign w:val="center"/>
          </w:tcPr>
          <w:p w14:paraId="46E2C03D">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3B538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41" w:hRule="atLeast"/>
        </w:trPr>
        <w:tc>
          <w:tcPr>
            <w:tcW w:w="432" w:type="dxa"/>
            <w:noWrap w:val="0"/>
            <w:vAlign w:val="center"/>
          </w:tcPr>
          <w:p w14:paraId="77160F5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30</w:t>
            </w:r>
          </w:p>
        </w:tc>
        <w:tc>
          <w:tcPr>
            <w:tcW w:w="3112" w:type="dxa"/>
            <w:shd w:val="clear" w:color="auto" w:fill="auto"/>
            <w:noWrap w:val="0"/>
            <w:vAlign w:val="center"/>
          </w:tcPr>
          <w:p w14:paraId="4D6B03E7">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发布房地产预售或者销售广告未载明预售或者销售许可证书号</w:t>
            </w:r>
          </w:p>
        </w:tc>
        <w:tc>
          <w:tcPr>
            <w:tcW w:w="2693" w:type="dxa"/>
            <w:shd w:val="clear" w:color="auto" w:fill="auto"/>
            <w:noWrap w:val="0"/>
            <w:vAlign w:val="center"/>
          </w:tcPr>
          <w:p w14:paraId="5D07BB5F">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18E43513">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1.首次实施此类违法行为；2.已取得预售或者销售许可证书；</w:t>
            </w:r>
          </w:p>
          <w:p w14:paraId="40B17230">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3.立即自行改正或在行政机关责令改正的期限内改正；4.没有造成危害后果的。</w:t>
            </w:r>
          </w:p>
        </w:tc>
        <w:tc>
          <w:tcPr>
            <w:tcW w:w="5812" w:type="dxa"/>
            <w:shd w:val="clear" w:color="auto" w:fill="auto"/>
            <w:noWrap w:val="0"/>
            <w:vAlign w:val="center"/>
          </w:tcPr>
          <w:p w14:paraId="11F42164">
            <w:pPr>
              <w:overflowPunct w:val="0"/>
              <w:adjustRightInd w:val="0"/>
              <w:snapToGrid w:val="0"/>
              <w:rPr>
                <w:rFonts w:hint="eastAsia"/>
                <w:color w:val="000000"/>
                <w:spacing w:val="-4"/>
                <w:kern w:val="0"/>
                <w:szCs w:val="21"/>
              </w:rPr>
            </w:pPr>
            <w:r>
              <w:rPr>
                <w:rFonts w:hint="eastAsia"/>
                <w:color w:val="000000"/>
                <w:spacing w:val="-4"/>
                <w:kern w:val="0"/>
                <w:szCs w:val="21"/>
              </w:rPr>
              <w:t>《房地产广告发布规定》第七条第一款  房地产预售、销售广告，必须载明以下事项： （三）预售或者销售许可证书号。</w:t>
            </w:r>
          </w:p>
          <w:p w14:paraId="4ACA7573">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《房地产广告发布规定》第二十一条  违反本规定发布广告，《广告法》及其他法律法规有规定的，依照有关法律法规规定予以处罚。法律法规没有规定的，对负有责任的广告主、广告经营者、广告发布者，处以违法所得三倍以下但不超过三万元的罚款；没有违法所得的，处以一万元以下的罚款。</w:t>
            </w:r>
          </w:p>
        </w:tc>
        <w:tc>
          <w:tcPr>
            <w:tcW w:w="2017" w:type="dxa"/>
            <w:shd w:val="clear" w:color="auto" w:fill="auto"/>
            <w:noWrap w:val="0"/>
            <w:vAlign w:val="center"/>
          </w:tcPr>
          <w:p w14:paraId="27B8069A">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0FF8E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13" w:hRule="atLeast"/>
        </w:trPr>
        <w:tc>
          <w:tcPr>
            <w:tcW w:w="432" w:type="dxa"/>
            <w:noWrap w:val="0"/>
            <w:vAlign w:val="center"/>
          </w:tcPr>
          <w:p w14:paraId="16CE798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31</w:t>
            </w:r>
          </w:p>
        </w:tc>
        <w:tc>
          <w:tcPr>
            <w:tcW w:w="3112" w:type="dxa"/>
            <w:shd w:val="clear" w:color="auto" w:fill="auto"/>
            <w:noWrap w:val="0"/>
            <w:vAlign w:val="center"/>
          </w:tcPr>
          <w:p w14:paraId="3B73B5E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获得“驰名商标”认定或获保护记录，将“驰名商标”字样用于商品、商品包装或者容器上，或者用于广告宣传、展览以及其他商业活动中</w:t>
            </w:r>
          </w:p>
        </w:tc>
        <w:tc>
          <w:tcPr>
            <w:tcW w:w="2693" w:type="dxa"/>
            <w:shd w:val="clear" w:color="auto" w:fill="auto"/>
            <w:noWrap w:val="0"/>
            <w:vAlign w:val="center"/>
          </w:tcPr>
          <w:p w14:paraId="48A8EA48">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4F690A4E">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1.首次实施此类违法行为；2.立即自行改正或在行政机关责令改正的期限内改正；3.没有造成危害后果的。</w:t>
            </w:r>
          </w:p>
        </w:tc>
        <w:tc>
          <w:tcPr>
            <w:tcW w:w="5812" w:type="dxa"/>
            <w:shd w:val="clear" w:color="auto" w:fill="auto"/>
            <w:noWrap w:val="0"/>
            <w:vAlign w:val="center"/>
          </w:tcPr>
          <w:p w14:paraId="538634EA">
            <w:pPr>
              <w:overflowPunct w:val="0"/>
              <w:adjustRightInd w:val="0"/>
              <w:snapToGrid w:val="0"/>
              <w:rPr>
                <w:rFonts w:hint="eastAsia"/>
                <w:color w:val="000000"/>
                <w:spacing w:val="-4"/>
                <w:kern w:val="0"/>
                <w:szCs w:val="21"/>
              </w:rPr>
            </w:pPr>
            <w:r>
              <w:rPr>
                <w:rFonts w:hint="eastAsia"/>
                <w:color w:val="000000"/>
                <w:spacing w:val="-4"/>
                <w:kern w:val="0"/>
                <w:szCs w:val="21"/>
              </w:rPr>
              <w:t>《商标法》第十四条第五款 生产、经营者不得将“驰名商标”字样用于商品、商品包装或者容器上，或者用于广告宣传、展览以及其他商业活动中。</w:t>
            </w:r>
          </w:p>
          <w:p w14:paraId="17CBED8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《商标法》第五十三条  违反本法第十四条第五款规定的，由地方工商行政管理部门责令改正，处十万元罚款。</w:t>
            </w:r>
          </w:p>
        </w:tc>
        <w:tc>
          <w:tcPr>
            <w:tcW w:w="2017" w:type="dxa"/>
            <w:shd w:val="clear" w:color="auto" w:fill="auto"/>
            <w:noWrap w:val="0"/>
            <w:vAlign w:val="center"/>
          </w:tcPr>
          <w:p w14:paraId="79B9AD0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92C3D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59" w:hRule="atLeast"/>
        </w:trPr>
        <w:tc>
          <w:tcPr>
            <w:tcW w:w="432" w:type="dxa"/>
            <w:noWrap w:val="0"/>
            <w:vAlign w:val="center"/>
          </w:tcPr>
          <w:p w14:paraId="5992232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32</w:t>
            </w:r>
          </w:p>
        </w:tc>
        <w:tc>
          <w:tcPr>
            <w:tcW w:w="3112" w:type="dxa"/>
            <w:shd w:val="clear" w:color="auto" w:fill="auto"/>
            <w:noWrap w:val="0"/>
            <w:vAlign w:val="center"/>
          </w:tcPr>
          <w:p w14:paraId="7C9380B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销售不知道是侵犯注册商标专用权的商品</w:t>
            </w:r>
          </w:p>
        </w:tc>
        <w:tc>
          <w:tcPr>
            <w:tcW w:w="2693" w:type="dxa"/>
            <w:shd w:val="clear" w:color="auto" w:fill="auto"/>
            <w:noWrap w:val="0"/>
            <w:vAlign w:val="center"/>
          </w:tcPr>
          <w:p w14:paraId="41DAB6AD">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06F47305">
            <w:pPr>
              <w:overflowPunct w:val="0"/>
              <w:adjustRightInd w:val="0"/>
              <w:snapToGrid w:val="0"/>
              <w:rPr>
                <w:rFonts w:hint="eastAsia"/>
                <w:color w:val="000000"/>
                <w:spacing w:val="-4"/>
                <w:kern w:val="0"/>
                <w:szCs w:val="21"/>
              </w:rPr>
            </w:pPr>
            <w:r>
              <w:rPr>
                <w:rFonts w:hint="eastAsia"/>
                <w:color w:val="000000"/>
                <w:spacing w:val="-4"/>
                <w:kern w:val="0"/>
                <w:szCs w:val="21"/>
              </w:rPr>
              <w:t>1.能证明该商品是自己合法取得并说明提供者；</w:t>
            </w:r>
          </w:p>
          <w:p w14:paraId="494F5EB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2.责令限期改正后及时改正的。</w:t>
            </w:r>
          </w:p>
        </w:tc>
        <w:tc>
          <w:tcPr>
            <w:tcW w:w="5812" w:type="dxa"/>
            <w:shd w:val="clear" w:color="auto" w:fill="auto"/>
            <w:noWrap w:val="0"/>
            <w:vAlign w:val="center"/>
          </w:tcPr>
          <w:p w14:paraId="10823C22">
            <w:pPr>
              <w:overflowPunct w:val="0"/>
              <w:adjustRightInd w:val="0"/>
              <w:snapToGrid w:val="0"/>
              <w:rPr>
                <w:rFonts w:hint="eastAsia"/>
                <w:color w:val="000000"/>
                <w:spacing w:val="-4"/>
                <w:kern w:val="0"/>
                <w:szCs w:val="21"/>
              </w:rPr>
            </w:pPr>
            <w:r>
              <w:rPr>
                <w:rFonts w:hint="eastAsia"/>
                <w:color w:val="000000"/>
                <w:spacing w:val="-4"/>
                <w:kern w:val="0"/>
                <w:szCs w:val="21"/>
              </w:rPr>
              <w:t>《商标法》第五十七条第（三）项  有下列行为之一的，均属侵犯注册商标专用权：（三）销售侵犯注册商标专用权的商品的；</w:t>
            </w:r>
          </w:p>
          <w:p w14:paraId="796BC5F0">
            <w:pPr>
              <w:overflowPunct w:val="0"/>
              <w:adjustRightInd w:val="0"/>
              <w:snapToGrid w:val="0"/>
              <w:rPr>
                <w:rFonts w:hint="eastAsia"/>
                <w:color w:val="000000"/>
                <w:spacing w:val="-4"/>
                <w:kern w:val="0"/>
                <w:szCs w:val="21"/>
              </w:rPr>
            </w:pPr>
            <w:r>
              <w:rPr>
                <w:rFonts w:hint="eastAsia"/>
                <w:color w:val="000000"/>
                <w:spacing w:val="-4"/>
                <w:kern w:val="0"/>
                <w:szCs w:val="21"/>
              </w:rPr>
              <w:t>《商标法》第六十条第二款  销售不知道是侵犯注册商标专用权的商品，能证明该商品是自己合法取得并说明提供者的，由工商行政管理部门责令停止销售。</w:t>
            </w:r>
          </w:p>
          <w:p w14:paraId="5AEAE51C">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《商标法实施条例》第八十条 销售不知道是侵犯注册商标专用权的商品，能证明该商品是自己合法取得并说明提供者的，由工商行政管理部门责令停止销售，并将案件情况通报侵权商品提供者所在地工商行政管理部门。</w:t>
            </w:r>
          </w:p>
        </w:tc>
        <w:tc>
          <w:tcPr>
            <w:tcW w:w="2017" w:type="dxa"/>
            <w:shd w:val="clear" w:color="auto" w:fill="auto"/>
            <w:noWrap w:val="0"/>
            <w:vAlign w:val="center"/>
          </w:tcPr>
          <w:p w14:paraId="57E6DF1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59D0E5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84" w:hRule="atLeast"/>
        </w:trPr>
        <w:tc>
          <w:tcPr>
            <w:tcW w:w="432" w:type="dxa"/>
            <w:noWrap w:val="0"/>
            <w:vAlign w:val="center"/>
          </w:tcPr>
          <w:p w14:paraId="4B7C5C2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33</w:t>
            </w:r>
          </w:p>
        </w:tc>
        <w:tc>
          <w:tcPr>
            <w:tcW w:w="3112" w:type="dxa"/>
            <w:shd w:val="clear" w:color="auto" w:fill="auto"/>
            <w:noWrap w:val="0"/>
            <w:vAlign w:val="center"/>
          </w:tcPr>
          <w:p w14:paraId="597DB88E">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违反《集体商标、证明商标注册和管理办法》第二十一条规定，集体商标、证明商标注册人没有对该商标的使用进行有效管理或者控制，致使该商标使用的商品达不到其使用管理规则的要求，对消费者造成损害的</w:t>
            </w:r>
          </w:p>
        </w:tc>
        <w:tc>
          <w:tcPr>
            <w:tcW w:w="2693" w:type="dxa"/>
            <w:shd w:val="clear" w:color="auto" w:fill="auto"/>
            <w:noWrap w:val="0"/>
            <w:vAlign w:val="center"/>
          </w:tcPr>
          <w:p w14:paraId="71F14DBE">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107D5BA0">
            <w:pPr>
              <w:overflowPunct w:val="0"/>
              <w:adjustRightInd w:val="0"/>
              <w:snapToGrid w:val="0"/>
              <w:rPr>
                <w:rFonts w:hint="eastAsia"/>
                <w:color w:val="000000"/>
                <w:spacing w:val="-4"/>
                <w:kern w:val="0"/>
                <w:szCs w:val="21"/>
              </w:rPr>
            </w:pPr>
            <w:r>
              <w:rPr>
                <w:rFonts w:hint="eastAsia"/>
                <w:color w:val="000000"/>
                <w:spacing w:val="-4"/>
                <w:kern w:val="0"/>
                <w:szCs w:val="21"/>
              </w:rPr>
              <w:t>1．情节轻微；</w:t>
            </w:r>
          </w:p>
          <w:p w14:paraId="1F8B0644">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2．立即自行改正或者责令限期改正后及时改正的。</w:t>
            </w:r>
          </w:p>
        </w:tc>
        <w:tc>
          <w:tcPr>
            <w:tcW w:w="5812" w:type="dxa"/>
            <w:shd w:val="clear" w:color="auto" w:fill="auto"/>
            <w:noWrap w:val="0"/>
            <w:vAlign w:val="center"/>
          </w:tcPr>
          <w:p w14:paraId="16F4885C">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《集体商标、证明商标注册和管理办法》第二十一条　集体商标、证明商标注册人没有对该商标的使用进行有效管理或者控制，致使该商标使用的商品达不到其使用管理规则的要求，对消费者造成损害的，由工商行政管理部门责令限期改正；拒不改正的，处以违法所得三倍以下的罚款，但最高不超过三万元；没有违法所得的，处以一万元以下的罚款。</w:t>
            </w:r>
          </w:p>
        </w:tc>
        <w:tc>
          <w:tcPr>
            <w:tcW w:w="2017" w:type="dxa"/>
            <w:shd w:val="clear" w:color="auto" w:fill="auto"/>
            <w:noWrap w:val="0"/>
            <w:vAlign w:val="center"/>
          </w:tcPr>
          <w:p w14:paraId="40A81EC9">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10F0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13" w:hRule="atLeast"/>
        </w:trPr>
        <w:tc>
          <w:tcPr>
            <w:tcW w:w="432" w:type="dxa"/>
            <w:noWrap w:val="0"/>
            <w:vAlign w:val="center"/>
          </w:tcPr>
          <w:p w14:paraId="335CFD7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34</w:t>
            </w:r>
          </w:p>
        </w:tc>
        <w:tc>
          <w:tcPr>
            <w:tcW w:w="3112" w:type="dxa"/>
            <w:shd w:val="clear" w:color="auto" w:fill="auto"/>
            <w:noWrap w:val="0"/>
            <w:vAlign w:val="center"/>
          </w:tcPr>
          <w:p w14:paraId="4E81436D">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商标印制及出入库未按要求存档备查</w:t>
            </w:r>
          </w:p>
        </w:tc>
        <w:tc>
          <w:tcPr>
            <w:tcW w:w="2693" w:type="dxa"/>
            <w:shd w:val="clear" w:color="auto" w:fill="auto"/>
            <w:noWrap w:val="0"/>
            <w:vAlign w:val="center"/>
          </w:tcPr>
          <w:p w14:paraId="16B90D0E">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177F5A31">
            <w:pPr>
              <w:overflowPunct w:val="0"/>
              <w:adjustRightInd w:val="0"/>
              <w:snapToGrid w:val="0"/>
              <w:rPr>
                <w:rFonts w:hint="eastAsia"/>
                <w:color w:val="000000"/>
                <w:spacing w:val="-4"/>
                <w:kern w:val="0"/>
                <w:szCs w:val="21"/>
              </w:rPr>
            </w:pPr>
            <w:r>
              <w:rPr>
                <w:rFonts w:hint="eastAsia"/>
                <w:color w:val="000000"/>
                <w:spacing w:val="-4"/>
                <w:kern w:val="0"/>
                <w:szCs w:val="21"/>
              </w:rPr>
              <w:t>1.初次违法；</w:t>
            </w:r>
          </w:p>
          <w:p w14:paraId="534F742B">
            <w:pPr>
              <w:overflowPunct w:val="0"/>
              <w:adjustRightInd w:val="0"/>
              <w:snapToGrid w:val="0"/>
              <w:rPr>
                <w:rFonts w:hint="eastAsia"/>
                <w:color w:val="000000"/>
                <w:spacing w:val="-4"/>
                <w:kern w:val="0"/>
                <w:szCs w:val="21"/>
              </w:rPr>
            </w:pPr>
            <w:r>
              <w:rPr>
                <w:rFonts w:hint="eastAsia"/>
                <w:color w:val="000000"/>
                <w:spacing w:val="-4"/>
                <w:kern w:val="0"/>
                <w:szCs w:val="21"/>
              </w:rPr>
              <w:t>2.及时改正；</w:t>
            </w:r>
          </w:p>
          <w:p w14:paraId="5155C64C">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4118F450">
            <w:pPr>
              <w:overflowPunct w:val="0"/>
              <w:adjustRightInd w:val="0"/>
              <w:snapToGrid w:val="0"/>
              <w:rPr>
                <w:rFonts w:hint="eastAsia"/>
                <w:color w:val="000000"/>
                <w:spacing w:val="-4"/>
                <w:kern w:val="0"/>
                <w:szCs w:val="21"/>
              </w:rPr>
            </w:pPr>
            <w:r>
              <w:rPr>
                <w:rFonts w:hint="eastAsia"/>
                <w:color w:val="000000"/>
                <w:spacing w:val="-4"/>
                <w:kern w:val="0"/>
                <w:szCs w:val="21"/>
              </w:rPr>
              <w:t>《商标印制管理办法》第十条  商标印制档案及商标标识出入库台帐应当存档备查，存查期为两年。</w:t>
            </w:r>
          </w:p>
          <w:p w14:paraId="343ABB04">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第十一条  商标印制单位违反本办法第七条至第十条规定的，由所在地市场监督管理部门责令其限期改正，并视其情节予以警告，处以非法所得额三倍以下的罚款，但最高不超过三万元，没有违法所得的，可以处以一万元以下的罚款。</w:t>
            </w:r>
          </w:p>
        </w:tc>
        <w:tc>
          <w:tcPr>
            <w:tcW w:w="2017" w:type="dxa"/>
            <w:shd w:val="clear" w:color="auto" w:fill="auto"/>
            <w:noWrap w:val="0"/>
            <w:vAlign w:val="center"/>
          </w:tcPr>
          <w:p w14:paraId="53E55DDD">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634E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84" w:hRule="atLeast"/>
        </w:trPr>
        <w:tc>
          <w:tcPr>
            <w:tcW w:w="432" w:type="dxa"/>
            <w:noWrap w:val="0"/>
            <w:vAlign w:val="center"/>
          </w:tcPr>
          <w:p w14:paraId="4867B50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35</w:t>
            </w:r>
          </w:p>
        </w:tc>
        <w:tc>
          <w:tcPr>
            <w:tcW w:w="3112" w:type="dxa"/>
            <w:shd w:val="clear" w:color="auto" w:fill="auto"/>
            <w:noWrap w:val="0"/>
            <w:vAlign w:val="center"/>
          </w:tcPr>
          <w:p w14:paraId="7A91130F">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法律、行政法规规定必须使用注册商标的商品未经核准注册商标在市场销售</w:t>
            </w:r>
          </w:p>
        </w:tc>
        <w:tc>
          <w:tcPr>
            <w:tcW w:w="2693" w:type="dxa"/>
            <w:shd w:val="clear" w:color="auto" w:fill="auto"/>
            <w:noWrap w:val="0"/>
            <w:vAlign w:val="center"/>
          </w:tcPr>
          <w:p w14:paraId="60B7411B">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29685277">
            <w:pPr>
              <w:overflowPunct w:val="0"/>
              <w:adjustRightInd w:val="0"/>
              <w:snapToGrid w:val="0"/>
              <w:rPr>
                <w:rFonts w:hint="eastAsia"/>
                <w:color w:val="000000"/>
                <w:spacing w:val="-4"/>
                <w:kern w:val="0"/>
                <w:szCs w:val="21"/>
              </w:rPr>
            </w:pPr>
            <w:r>
              <w:rPr>
                <w:rFonts w:hint="eastAsia"/>
                <w:color w:val="000000"/>
                <w:spacing w:val="-4"/>
                <w:kern w:val="0"/>
                <w:szCs w:val="21"/>
              </w:rPr>
              <w:t>1.初次违法；</w:t>
            </w:r>
          </w:p>
          <w:p w14:paraId="222A0059">
            <w:pPr>
              <w:overflowPunct w:val="0"/>
              <w:adjustRightInd w:val="0"/>
              <w:snapToGrid w:val="0"/>
              <w:rPr>
                <w:rFonts w:hint="eastAsia"/>
                <w:color w:val="000000"/>
                <w:spacing w:val="-4"/>
                <w:kern w:val="0"/>
                <w:szCs w:val="21"/>
              </w:rPr>
            </w:pPr>
            <w:r>
              <w:rPr>
                <w:rFonts w:hint="eastAsia"/>
                <w:color w:val="000000"/>
                <w:spacing w:val="-4"/>
                <w:kern w:val="0"/>
                <w:szCs w:val="21"/>
              </w:rPr>
              <w:t>2.违法所得较少，危害后果轻微；</w:t>
            </w:r>
          </w:p>
          <w:p w14:paraId="39B2F78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3.及时改正。</w:t>
            </w:r>
          </w:p>
        </w:tc>
        <w:tc>
          <w:tcPr>
            <w:tcW w:w="5812" w:type="dxa"/>
            <w:shd w:val="clear" w:color="auto" w:fill="auto"/>
            <w:noWrap w:val="0"/>
            <w:vAlign w:val="center"/>
          </w:tcPr>
          <w:p w14:paraId="0D920688">
            <w:pPr>
              <w:overflowPunct w:val="0"/>
              <w:adjustRightInd w:val="0"/>
              <w:snapToGrid w:val="0"/>
              <w:rPr>
                <w:rFonts w:hint="eastAsia"/>
                <w:color w:val="000000"/>
                <w:spacing w:val="-4"/>
                <w:kern w:val="0"/>
                <w:szCs w:val="21"/>
              </w:rPr>
            </w:pPr>
            <w:r>
              <w:rPr>
                <w:rFonts w:hint="eastAsia"/>
                <w:color w:val="000000"/>
                <w:spacing w:val="-4"/>
                <w:kern w:val="0"/>
                <w:szCs w:val="21"/>
              </w:rPr>
              <w:t>《商标法》第六条  法律、行政法规规定必须使用注册商标的商品，必须申请商标注册，未经核准注册的，不得在市场销售。</w:t>
            </w:r>
          </w:p>
          <w:p w14:paraId="51A950C4">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第五十一条 违反本法第六条规定的，由地方工商行政管理部门责令限期申请注册，违法经营额五万元以上的，可以处违法经营额百分之二十以下的罚款，没有违法经营额或者违法经营额不足五万元的，可以处一万元以下的罚款。</w:t>
            </w:r>
          </w:p>
        </w:tc>
        <w:tc>
          <w:tcPr>
            <w:tcW w:w="2017" w:type="dxa"/>
            <w:shd w:val="clear" w:color="auto" w:fill="auto"/>
            <w:noWrap w:val="0"/>
            <w:vAlign w:val="center"/>
          </w:tcPr>
          <w:p w14:paraId="18D0A65A">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9FE7F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617" w:hRule="atLeast"/>
        </w:trPr>
        <w:tc>
          <w:tcPr>
            <w:tcW w:w="432" w:type="dxa"/>
            <w:noWrap w:val="0"/>
            <w:vAlign w:val="center"/>
          </w:tcPr>
          <w:p w14:paraId="68CE60C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36</w:t>
            </w:r>
          </w:p>
        </w:tc>
        <w:tc>
          <w:tcPr>
            <w:tcW w:w="3112" w:type="dxa"/>
            <w:shd w:val="clear" w:color="auto" w:fill="auto"/>
            <w:noWrap w:val="0"/>
            <w:vAlign w:val="center"/>
          </w:tcPr>
          <w:p w14:paraId="67C6A7D6">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销售假冒专利的产品</w:t>
            </w:r>
          </w:p>
        </w:tc>
        <w:tc>
          <w:tcPr>
            <w:tcW w:w="2693" w:type="dxa"/>
            <w:shd w:val="clear" w:color="auto" w:fill="auto"/>
            <w:noWrap w:val="0"/>
            <w:vAlign w:val="center"/>
          </w:tcPr>
          <w:p w14:paraId="22D4E3F4">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同时具备以下条件，免除罚款：</w:t>
            </w:r>
          </w:p>
          <w:p w14:paraId="4B80F448">
            <w:pPr>
              <w:overflowPunct w:val="0"/>
              <w:adjustRightInd w:val="0"/>
              <w:snapToGrid w:val="0"/>
              <w:rPr>
                <w:rFonts w:hint="eastAsia"/>
                <w:color w:val="000000"/>
                <w:spacing w:val="-4"/>
                <w:kern w:val="0"/>
                <w:szCs w:val="21"/>
              </w:rPr>
            </w:pPr>
            <w:r>
              <w:rPr>
                <w:rFonts w:hint="eastAsia"/>
                <w:color w:val="000000"/>
                <w:spacing w:val="-4"/>
                <w:kern w:val="0"/>
                <w:szCs w:val="21"/>
              </w:rPr>
              <w:t>1.销售不知道是假冒专利的产品，并且能够证明该产品合法来源；</w:t>
            </w:r>
          </w:p>
          <w:p w14:paraId="71819712">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2.及时改正。</w:t>
            </w:r>
          </w:p>
        </w:tc>
        <w:tc>
          <w:tcPr>
            <w:tcW w:w="5812" w:type="dxa"/>
            <w:shd w:val="clear" w:color="auto" w:fill="auto"/>
            <w:noWrap w:val="0"/>
            <w:vAlign w:val="center"/>
          </w:tcPr>
          <w:p w14:paraId="2B1B7500">
            <w:pPr>
              <w:overflowPunct w:val="0"/>
              <w:adjustRightInd w:val="0"/>
              <w:snapToGrid w:val="0"/>
              <w:rPr>
                <w:rFonts w:hint="eastAsia"/>
                <w:color w:val="000000"/>
                <w:spacing w:val="-4"/>
                <w:kern w:val="0"/>
                <w:szCs w:val="21"/>
              </w:rPr>
            </w:pPr>
            <w:r>
              <w:rPr>
                <w:rFonts w:hint="eastAsia"/>
                <w:color w:val="000000"/>
                <w:spacing w:val="-4"/>
                <w:kern w:val="0"/>
                <w:szCs w:val="21"/>
              </w:rPr>
              <w:t>《专利法实施细则》第八十四条第一款第一、二项　下列行为属于专利法第六十三条规定的假冒专利的行为：　（一）在未被授予专利权的产品或者其包装上标注专利标识，专利权被宣告无效后或者终止后继续在产品或者其包装上标注专利标识，或者未经许可在产品或者产品包装上标注他人的专利号；（二）销售第（一）项所述产品；</w:t>
            </w:r>
          </w:p>
          <w:p w14:paraId="1C637ECB">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《专利法》第六十八条　假冒专利的，除依法承担民事责任外，由负责专利执法的部门责令改正并予公告，没收违法所得，可以处违法所得五倍以下的罚款；没有违法所得或者违法所得在五万元以下的，可以处二十五万元以下的罚款；构成犯罪的，依法追究刑事责任。</w:t>
            </w:r>
            <w:r>
              <w:rPr>
                <w:rFonts w:hint="eastAsia"/>
                <w:color w:val="000000"/>
                <w:spacing w:val="-4"/>
                <w:kern w:val="0"/>
                <w:szCs w:val="21"/>
              </w:rPr>
              <w:br w:type="textWrapping"/>
            </w:r>
            <w:r>
              <w:rPr>
                <w:rFonts w:hint="eastAsia"/>
                <w:color w:val="000000"/>
                <w:spacing w:val="-4"/>
                <w:kern w:val="0"/>
                <w:szCs w:val="21"/>
              </w:rPr>
              <w:t>《专利法实施细则》第八十四条第三款 销售不知道是假冒专利的产品，并且能够证明该产品合法来源的，由管理专利工作的部门责令停止销售，但免除罚款的处罚。</w:t>
            </w:r>
          </w:p>
        </w:tc>
        <w:tc>
          <w:tcPr>
            <w:tcW w:w="2017" w:type="dxa"/>
            <w:shd w:val="clear" w:color="auto" w:fill="auto"/>
            <w:noWrap w:val="0"/>
            <w:vAlign w:val="center"/>
          </w:tcPr>
          <w:p w14:paraId="10A9A3F9">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0096ED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84" w:hRule="atLeast"/>
        </w:trPr>
        <w:tc>
          <w:tcPr>
            <w:tcW w:w="432" w:type="dxa"/>
            <w:noWrap w:val="0"/>
            <w:vAlign w:val="center"/>
          </w:tcPr>
          <w:p w14:paraId="70487CE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37</w:t>
            </w:r>
          </w:p>
        </w:tc>
        <w:tc>
          <w:tcPr>
            <w:tcW w:w="3112" w:type="dxa"/>
            <w:shd w:val="clear" w:color="auto" w:fill="auto"/>
            <w:noWrap w:val="0"/>
            <w:vAlign w:val="center"/>
          </w:tcPr>
          <w:p w14:paraId="5F16AF8C">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电子商务经营者未依法在首页显著位置公示营业执照信息等信息</w:t>
            </w:r>
          </w:p>
        </w:tc>
        <w:tc>
          <w:tcPr>
            <w:tcW w:w="2693" w:type="dxa"/>
            <w:shd w:val="clear" w:color="auto" w:fill="auto"/>
            <w:noWrap w:val="0"/>
            <w:vAlign w:val="center"/>
          </w:tcPr>
          <w:p w14:paraId="42DC7783">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2147692A">
            <w:pPr>
              <w:overflowPunct w:val="0"/>
              <w:adjustRightInd w:val="0"/>
              <w:snapToGrid w:val="0"/>
              <w:rPr>
                <w:rFonts w:hint="eastAsia"/>
                <w:color w:val="000000"/>
                <w:spacing w:val="-4"/>
                <w:kern w:val="0"/>
                <w:szCs w:val="21"/>
              </w:rPr>
            </w:pPr>
            <w:r>
              <w:rPr>
                <w:rFonts w:hint="eastAsia"/>
                <w:color w:val="000000"/>
                <w:spacing w:val="-4"/>
                <w:kern w:val="0"/>
                <w:szCs w:val="21"/>
              </w:rPr>
              <w:t>1.初次违法；</w:t>
            </w:r>
          </w:p>
          <w:p w14:paraId="1341CB46">
            <w:pPr>
              <w:overflowPunct w:val="0"/>
              <w:adjustRightInd w:val="0"/>
              <w:snapToGrid w:val="0"/>
              <w:rPr>
                <w:rFonts w:hint="eastAsia"/>
                <w:color w:val="000000"/>
                <w:spacing w:val="-4"/>
                <w:kern w:val="0"/>
                <w:szCs w:val="21"/>
              </w:rPr>
            </w:pPr>
            <w:r>
              <w:rPr>
                <w:rFonts w:hint="eastAsia"/>
                <w:color w:val="000000"/>
                <w:spacing w:val="-4"/>
                <w:kern w:val="0"/>
                <w:szCs w:val="21"/>
              </w:rPr>
              <w:t>2.及时改正；</w:t>
            </w:r>
          </w:p>
          <w:p w14:paraId="18CE3258">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4368E6B0">
            <w:pPr>
              <w:overflowPunct w:val="0"/>
              <w:adjustRightInd w:val="0"/>
              <w:snapToGrid w:val="0"/>
              <w:rPr>
                <w:rFonts w:hint="eastAsia"/>
                <w:color w:val="000000"/>
                <w:spacing w:val="-4"/>
                <w:kern w:val="0"/>
                <w:szCs w:val="21"/>
              </w:rPr>
            </w:pPr>
            <w:r>
              <w:rPr>
                <w:rFonts w:hint="eastAsia"/>
                <w:color w:val="000000"/>
                <w:spacing w:val="-4"/>
                <w:kern w:val="0"/>
                <w:szCs w:val="21"/>
              </w:rPr>
              <w:t>《电子商务法》第十五条　电子商务经营者应当在其首页显著位置，持续公示营业执照信息、与其经营业务有关的行政许可信息、属于依照本法第十条规定的不需要办理市场主体登记情形等信息，或者上述信息的链接标识。前款规定的信息发生变更的，电子商务经营者应当及时更新公示信息</w:t>
            </w:r>
          </w:p>
          <w:p w14:paraId="4D996F12">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《电子商务法》第七十六条第一款第一项 电子商务经营者违反本法规定，有下列行为之一的，由市场监督管理部门责令限期改正，可以处一万元以下的罚款，对其中的电子商务平台经营者，依照本法第八十一条第一款的规定处罚：（一）未在首页显著位置公示营业执照信息、行政许可信息、属于不需要办理市场主体登记情形等信息，或者上述信息的链接标识的；</w:t>
            </w:r>
          </w:p>
        </w:tc>
        <w:tc>
          <w:tcPr>
            <w:tcW w:w="2017" w:type="dxa"/>
            <w:shd w:val="clear" w:color="auto" w:fill="auto"/>
            <w:noWrap w:val="0"/>
            <w:vAlign w:val="center"/>
          </w:tcPr>
          <w:p w14:paraId="02F76DA7">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9FC8C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74" w:hRule="atLeast"/>
        </w:trPr>
        <w:tc>
          <w:tcPr>
            <w:tcW w:w="432" w:type="dxa"/>
            <w:noWrap w:val="0"/>
            <w:vAlign w:val="center"/>
          </w:tcPr>
          <w:p w14:paraId="30B3C92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38</w:t>
            </w:r>
          </w:p>
        </w:tc>
        <w:tc>
          <w:tcPr>
            <w:tcW w:w="3112" w:type="dxa"/>
            <w:shd w:val="clear" w:color="auto" w:fill="auto"/>
            <w:noWrap w:val="0"/>
            <w:vAlign w:val="center"/>
          </w:tcPr>
          <w:p w14:paraId="342EAF48">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营业执照等信息发生变更时，电子商务经营者未依法及时更新公示信息</w:t>
            </w:r>
          </w:p>
        </w:tc>
        <w:tc>
          <w:tcPr>
            <w:tcW w:w="2693" w:type="dxa"/>
            <w:shd w:val="clear" w:color="auto" w:fill="auto"/>
            <w:noWrap w:val="0"/>
            <w:vAlign w:val="center"/>
          </w:tcPr>
          <w:p w14:paraId="51FFD182">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49F3B924">
            <w:pPr>
              <w:overflowPunct w:val="0"/>
              <w:adjustRightInd w:val="0"/>
              <w:snapToGrid w:val="0"/>
              <w:rPr>
                <w:rFonts w:hint="eastAsia"/>
                <w:color w:val="000000"/>
                <w:spacing w:val="-4"/>
                <w:kern w:val="0"/>
                <w:szCs w:val="21"/>
              </w:rPr>
            </w:pPr>
            <w:r>
              <w:rPr>
                <w:rFonts w:hint="eastAsia"/>
                <w:color w:val="000000"/>
                <w:spacing w:val="-4"/>
                <w:kern w:val="0"/>
                <w:szCs w:val="21"/>
              </w:rPr>
              <w:t>1.初次违法；</w:t>
            </w:r>
          </w:p>
          <w:p w14:paraId="5EA9C074">
            <w:pPr>
              <w:overflowPunct w:val="0"/>
              <w:adjustRightInd w:val="0"/>
              <w:snapToGrid w:val="0"/>
              <w:rPr>
                <w:rFonts w:hint="eastAsia"/>
                <w:color w:val="000000"/>
                <w:spacing w:val="-4"/>
                <w:kern w:val="0"/>
                <w:szCs w:val="21"/>
              </w:rPr>
            </w:pPr>
            <w:r>
              <w:rPr>
                <w:rFonts w:hint="eastAsia"/>
                <w:color w:val="000000"/>
                <w:spacing w:val="-4"/>
                <w:kern w:val="0"/>
                <w:szCs w:val="21"/>
              </w:rPr>
              <w:t>2.及时改正；</w:t>
            </w:r>
          </w:p>
          <w:p w14:paraId="06101052">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17037A6D">
            <w:pPr>
              <w:overflowPunct w:val="0"/>
              <w:adjustRightInd w:val="0"/>
              <w:snapToGrid w:val="0"/>
              <w:jc w:val="left"/>
              <w:rPr>
                <w:rFonts w:hint="eastAsia"/>
                <w:color w:val="000000"/>
                <w:spacing w:val="-4"/>
                <w:kern w:val="0"/>
                <w:szCs w:val="21"/>
              </w:rPr>
            </w:pPr>
            <w:r>
              <w:rPr>
                <w:rFonts w:hint="eastAsia"/>
                <w:color w:val="000000"/>
                <w:spacing w:val="-4"/>
                <w:kern w:val="0"/>
                <w:szCs w:val="21"/>
              </w:rPr>
              <w:t>《电子商务法》第十五条 电子商务经营者应当在其首页显著位置，持续公示营业执照信息、与其经营业务有关的行政许可信息、属于依照本法第十条规定的不需要办理市场主体登记情形等信息，或者上述信息的链接标识。                                                               前款规定的信息发生变更的，电子商务经营者应当及时更新公示信息。</w:t>
            </w:r>
          </w:p>
          <w:p w14:paraId="4E7E4884">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《电子商务法》第七十六条第一款第一项 电子商务经营者违反本法规定，有下列行为之一的，由市场监督管理部门责令限期改正，可以处一万元以下的罚款，对其中的电子商务平台经营者，依照本法第八十一条第一款的规定处罚：（一）未在首页显著位置公示营业执照信息、行政许可信息、属于不需要办理市场主体登记情形等信息，或者上述信息的链接标识的；</w:t>
            </w:r>
          </w:p>
        </w:tc>
        <w:tc>
          <w:tcPr>
            <w:tcW w:w="2017" w:type="dxa"/>
            <w:shd w:val="clear" w:color="auto" w:fill="auto"/>
            <w:noWrap w:val="0"/>
            <w:vAlign w:val="center"/>
          </w:tcPr>
          <w:p w14:paraId="7F7A4272">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D5144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75" w:hRule="atLeast"/>
        </w:trPr>
        <w:tc>
          <w:tcPr>
            <w:tcW w:w="432" w:type="dxa"/>
            <w:noWrap w:val="0"/>
            <w:vAlign w:val="center"/>
          </w:tcPr>
          <w:p w14:paraId="1ADE23D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39</w:t>
            </w:r>
          </w:p>
        </w:tc>
        <w:tc>
          <w:tcPr>
            <w:tcW w:w="3112" w:type="dxa"/>
            <w:shd w:val="clear" w:color="auto" w:fill="auto"/>
            <w:noWrap w:val="0"/>
            <w:vAlign w:val="center"/>
          </w:tcPr>
          <w:p w14:paraId="4D13E788">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电子商务经营者自行终止从事电子商务，未按规定在首页显著位置持续公示有关信息</w:t>
            </w:r>
          </w:p>
        </w:tc>
        <w:tc>
          <w:tcPr>
            <w:tcW w:w="2693" w:type="dxa"/>
            <w:shd w:val="clear" w:color="auto" w:fill="auto"/>
            <w:noWrap w:val="0"/>
            <w:vAlign w:val="center"/>
          </w:tcPr>
          <w:p w14:paraId="02AD0830">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3DF33D90">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0A5A49D3">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6BBBE2AB">
            <w:pPr>
              <w:overflowPunct w:val="0"/>
              <w:adjustRightInd w:val="0"/>
              <w:snapToGrid w:val="0"/>
              <w:rPr>
                <w:rFonts w:hint="eastAsia"/>
                <w:color w:val="000000"/>
                <w:spacing w:val="-4"/>
                <w:kern w:val="0"/>
                <w:szCs w:val="21"/>
              </w:rPr>
            </w:pPr>
            <w:r>
              <w:rPr>
                <w:rFonts w:hint="eastAsia"/>
                <w:color w:val="000000"/>
                <w:spacing w:val="-4"/>
                <w:kern w:val="0"/>
                <w:szCs w:val="21"/>
              </w:rPr>
              <w:t>《电子商务法》第十六条 电子商务经营者自行终止从事电子商务的，应当提前三十日在首页显著位置持续公示有关信息。</w:t>
            </w:r>
          </w:p>
          <w:p w14:paraId="6B48443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《电子商务法》第七十六条第一款第（二）项 电子商务经营者违反本法规定，有下列行为之一的，由市场监督管理部门责令限期改正，可以处一万元以下的罚款。（二）未在首页显著位置持续公示终止电子商务的有关信息的；</w:t>
            </w:r>
          </w:p>
        </w:tc>
        <w:tc>
          <w:tcPr>
            <w:tcW w:w="2017" w:type="dxa"/>
            <w:shd w:val="clear" w:color="auto" w:fill="auto"/>
            <w:noWrap w:val="0"/>
            <w:vAlign w:val="center"/>
          </w:tcPr>
          <w:p w14:paraId="3B16935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362A14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35" w:hRule="atLeast"/>
        </w:trPr>
        <w:tc>
          <w:tcPr>
            <w:tcW w:w="432" w:type="dxa"/>
            <w:noWrap w:val="0"/>
            <w:vAlign w:val="center"/>
          </w:tcPr>
          <w:p w14:paraId="60038AA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40</w:t>
            </w:r>
          </w:p>
        </w:tc>
        <w:tc>
          <w:tcPr>
            <w:tcW w:w="3112" w:type="dxa"/>
            <w:shd w:val="clear" w:color="auto" w:fill="auto"/>
            <w:noWrap w:val="0"/>
            <w:vAlign w:val="center"/>
          </w:tcPr>
          <w:p w14:paraId="3500B26A">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电子商务经营者未明示用户信息查询、更正、删除以及用户注销的方式、程序，或者对用户信息查询、更正、删除以及用户注销设置不合理条件</w:t>
            </w:r>
          </w:p>
        </w:tc>
        <w:tc>
          <w:tcPr>
            <w:tcW w:w="2693" w:type="dxa"/>
            <w:shd w:val="clear" w:color="auto" w:fill="auto"/>
            <w:noWrap w:val="0"/>
            <w:vAlign w:val="center"/>
          </w:tcPr>
          <w:p w14:paraId="45432F20">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3CCFA28F">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0A47FB41">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308C95F0">
            <w:pPr>
              <w:overflowPunct w:val="0"/>
              <w:adjustRightInd w:val="0"/>
              <w:snapToGrid w:val="0"/>
              <w:rPr>
                <w:rFonts w:hint="eastAsia"/>
                <w:color w:val="000000"/>
                <w:spacing w:val="-4"/>
                <w:kern w:val="0"/>
                <w:szCs w:val="21"/>
              </w:rPr>
            </w:pPr>
            <w:r>
              <w:rPr>
                <w:rFonts w:hint="eastAsia"/>
                <w:color w:val="000000"/>
                <w:spacing w:val="-4"/>
                <w:kern w:val="0"/>
                <w:szCs w:val="21"/>
              </w:rPr>
              <w:t xml:space="preserve">《电子商务法》第二十四条第一款  </w:t>
            </w:r>
            <w:r>
              <w:rPr>
                <w:rFonts w:hint="eastAsia"/>
                <w:color w:val="000000"/>
                <w:spacing w:val="-4"/>
                <w:szCs w:val="21"/>
              </w:rPr>
              <w:t>电子商务经营者应当明示用户信息查询、更正、删除以及用户注销的方式、程序，不得对用户信息查询、更正、删除以及用户注销设置不合理条件。</w:t>
            </w:r>
          </w:p>
          <w:p w14:paraId="17CC3CC1">
            <w:pPr>
              <w:overflowPunct w:val="0"/>
              <w:adjustRightInd w:val="0"/>
              <w:snapToGrid w:val="0"/>
              <w:rPr>
                <w:rFonts w:hint="eastAsia"/>
                <w:color w:val="000000"/>
                <w:spacing w:val="-4"/>
                <w:kern w:val="0"/>
                <w:szCs w:val="21"/>
              </w:rPr>
            </w:pPr>
            <w:r>
              <w:rPr>
                <w:rFonts w:hint="eastAsia"/>
                <w:color w:val="000000"/>
                <w:spacing w:val="-4"/>
                <w:kern w:val="0"/>
                <w:szCs w:val="21"/>
              </w:rPr>
              <w:t>《电子商务法》第七十六条第一款第（三）项  电子商务经营者违反本法规定，有下列行为之一的，由市场监督管理部门责令限期改正，可以处一万元以下的罚款。（三）未明示用户信息查询、更正、删除以及用户注销的方式、程序，或者对用户信息查询、更正、删除以及用户注销设置不合理条件的。</w:t>
            </w:r>
          </w:p>
          <w:p w14:paraId="0447F8F6">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第七十六条第一款第三项  电子商务经营者违反本法规定，有下列行为之一的，由市场监督管理部门责令限期改正，可以处一万元以下的罚款，对其中的电子商务平台经营者，依照本法第八十一条第一款的规定处罚：（三）未明示用户信息查询、更正、删除以及用户注销的方式、程序，或者对用户信息查询、更正、删除以及用户注销设置不合理条件的。</w:t>
            </w:r>
          </w:p>
        </w:tc>
        <w:tc>
          <w:tcPr>
            <w:tcW w:w="2017" w:type="dxa"/>
            <w:shd w:val="clear" w:color="auto" w:fill="auto"/>
            <w:noWrap w:val="0"/>
            <w:vAlign w:val="center"/>
          </w:tcPr>
          <w:p w14:paraId="4DD29F9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0224B3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7" w:hRule="atLeast"/>
        </w:trPr>
        <w:tc>
          <w:tcPr>
            <w:tcW w:w="432" w:type="dxa"/>
            <w:noWrap w:val="0"/>
            <w:vAlign w:val="center"/>
          </w:tcPr>
          <w:p w14:paraId="77AF865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41</w:t>
            </w:r>
          </w:p>
        </w:tc>
        <w:tc>
          <w:tcPr>
            <w:tcW w:w="3112" w:type="dxa"/>
            <w:shd w:val="clear" w:color="auto" w:fill="auto"/>
            <w:noWrap w:val="0"/>
            <w:vAlign w:val="center"/>
          </w:tcPr>
          <w:p w14:paraId="539EBCE7">
            <w:pPr>
              <w:overflowPunct w:val="0"/>
              <w:adjustRightInd w:val="0"/>
              <w:snapToGrid w:val="0"/>
              <w:textAlignment w:val="center"/>
              <w:rPr>
                <w:rFonts w:hint="eastAsia" w:asciiTheme="minorHAnsi" w:hAnsiTheme="minorHAnsi" w:eastAsiaTheme="minorEastAsia" w:cstheme="minorBidi"/>
                <w:color w:val="FF0000"/>
                <w:spacing w:val="-4"/>
                <w:kern w:val="2"/>
                <w:sz w:val="21"/>
                <w:szCs w:val="21"/>
                <w:lang w:val="en-US" w:eastAsia="zh-CN" w:bidi="ar-SA"/>
              </w:rPr>
            </w:pPr>
            <w:r>
              <w:rPr>
                <w:rFonts w:hint="eastAsia"/>
                <w:color w:val="000000"/>
                <w:spacing w:val="-4"/>
                <w:kern w:val="0"/>
                <w:szCs w:val="21"/>
              </w:rPr>
              <w:t>网络交易经营者公示的信息发生变更后未在十个工作日内完成更新公示</w:t>
            </w:r>
          </w:p>
        </w:tc>
        <w:tc>
          <w:tcPr>
            <w:tcW w:w="2693" w:type="dxa"/>
            <w:shd w:val="clear" w:color="auto" w:fill="auto"/>
            <w:noWrap w:val="0"/>
            <w:vAlign w:val="center"/>
          </w:tcPr>
          <w:p w14:paraId="570DBE34">
            <w:pPr>
              <w:overflowPunct w:val="0"/>
              <w:adjustRightInd w:val="0"/>
              <w:snapToGrid w:val="0"/>
              <w:textAlignment w:val="center"/>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kern w:val="0"/>
                <w:szCs w:val="21"/>
              </w:rPr>
              <w:t>初次违法。</w:t>
            </w:r>
          </w:p>
        </w:tc>
        <w:tc>
          <w:tcPr>
            <w:tcW w:w="5812" w:type="dxa"/>
            <w:shd w:val="clear" w:color="auto" w:fill="auto"/>
            <w:noWrap w:val="0"/>
            <w:vAlign w:val="center"/>
          </w:tcPr>
          <w:p w14:paraId="016ECDEE">
            <w:pPr>
              <w:overflowPunct w:val="0"/>
              <w:adjustRightInd w:val="0"/>
              <w:snapToGrid w:val="0"/>
              <w:textAlignment w:val="center"/>
              <w:rPr>
                <w:color w:val="000000"/>
                <w:spacing w:val="-4"/>
                <w:kern w:val="0"/>
                <w:szCs w:val="21"/>
              </w:rPr>
            </w:pPr>
            <w:r>
              <w:rPr>
                <w:rFonts w:hint="eastAsia"/>
                <w:color w:val="000000"/>
                <w:spacing w:val="-4"/>
                <w:kern w:val="0"/>
                <w:szCs w:val="21"/>
              </w:rPr>
              <w:t xml:space="preserve">《网络交易监督管理办法》第十二条第四款  </w:t>
            </w:r>
            <w:r>
              <w:rPr>
                <w:color w:val="000000"/>
                <w:spacing w:val="-4"/>
                <w:kern w:val="0"/>
                <w:szCs w:val="21"/>
              </w:rPr>
              <w:t>网络交易经营者公示的信息发生变更的，应当在十个工作日内完成更新公示。</w:t>
            </w:r>
          </w:p>
          <w:p w14:paraId="2F3C90F8">
            <w:pPr>
              <w:widowControl/>
              <w:shd w:val="clear" w:color="auto" w:fill="FFFFFF"/>
              <w:spacing w:line="360" w:lineRule="atLeast"/>
              <w:jc w:val="left"/>
              <w:rPr>
                <w:rFonts w:hint="eastAsia" w:asciiTheme="minorHAnsi" w:hAnsiTheme="minorHAnsi" w:eastAsiaTheme="minorEastAsia" w:cstheme="minorBidi"/>
                <w:color w:val="000000"/>
                <w:kern w:val="2"/>
                <w:sz w:val="21"/>
                <w:szCs w:val="22"/>
                <w:shd w:val="clear" w:color="auto" w:fill="FFFFFF"/>
                <w:lang w:val="en-US" w:eastAsia="zh-CN" w:bidi="ar-SA"/>
              </w:rPr>
            </w:pPr>
            <w:r>
              <w:rPr>
                <w:rFonts w:hint="eastAsia"/>
                <w:color w:val="000000"/>
                <w:spacing w:val="-4"/>
                <w:kern w:val="0"/>
                <w:szCs w:val="21"/>
              </w:rPr>
              <w:t>《网络交易监督管理办法》</w:t>
            </w:r>
            <w:r>
              <w:rPr>
                <w:rFonts w:hint="eastAsia"/>
                <w:color w:val="000000"/>
                <w:shd w:val="clear" w:color="auto" w:fill="FFFFFF"/>
              </w:rPr>
              <w:t>第四十二条  网络交易经营者违反本办法第十二条、第二十三条，未履行法定信息公示义务的，依照《中华人民共和国电子商务法》第七十六条的规定进行处罚。对其中的网络交易平台经营者，依照《中华人民共和国电子商务法》第八十一条第一款的规定进行处罚。</w:t>
            </w:r>
          </w:p>
        </w:tc>
        <w:tc>
          <w:tcPr>
            <w:tcW w:w="2017" w:type="dxa"/>
            <w:shd w:val="clear" w:color="auto" w:fill="auto"/>
            <w:noWrap w:val="0"/>
            <w:vAlign w:val="center"/>
          </w:tcPr>
          <w:p w14:paraId="52D2DD9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苏州市市场监督管理局及各市（区）市场监督管理局</w:t>
            </w:r>
          </w:p>
        </w:tc>
      </w:tr>
      <w:tr w14:paraId="34A492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76" w:hRule="atLeast"/>
        </w:trPr>
        <w:tc>
          <w:tcPr>
            <w:tcW w:w="432" w:type="dxa"/>
            <w:noWrap w:val="0"/>
            <w:vAlign w:val="center"/>
          </w:tcPr>
          <w:p w14:paraId="1E857D9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42</w:t>
            </w:r>
          </w:p>
        </w:tc>
        <w:tc>
          <w:tcPr>
            <w:tcW w:w="3112" w:type="dxa"/>
            <w:shd w:val="clear" w:color="auto" w:fill="auto"/>
            <w:noWrap w:val="0"/>
            <w:vAlign w:val="center"/>
          </w:tcPr>
          <w:p w14:paraId="70C3D876">
            <w:pPr>
              <w:overflowPunct w:val="0"/>
              <w:adjustRightInd w:val="0"/>
              <w:snapToGrid w:val="0"/>
              <w:textAlignment w:val="center"/>
              <w:rPr>
                <w:rFonts w:hint="eastAsia" w:asciiTheme="minorHAnsi" w:hAnsiTheme="minorHAnsi" w:eastAsiaTheme="minorEastAsia" w:cstheme="minorBidi"/>
                <w:spacing w:val="-4"/>
                <w:kern w:val="0"/>
                <w:sz w:val="21"/>
                <w:szCs w:val="21"/>
                <w:lang w:val="en-US" w:eastAsia="zh-CN" w:bidi="ar-SA"/>
              </w:rPr>
            </w:pPr>
            <w:r>
              <w:rPr>
                <w:rFonts w:hint="eastAsia"/>
                <w:spacing w:val="-4"/>
                <w:kern w:val="0"/>
                <w:szCs w:val="21"/>
              </w:rPr>
              <w:t>生产经营添加未列入药食同源目录的中药材的食品的行为</w:t>
            </w:r>
          </w:p>
        </w:tc>
        <w:tc>
          <w:tcPr>
            <w:tcW w:w="2693" w:type="dxa"/>
            <w:shd w:val="clear" w:color="auto" w:fill="auto"/>
            <w:noWrap w:val="0"/>
            <w:vAlign w:val="center"/>
          </w:tcPr>
          <w:p w14:paraId="5FF6F987">
            <w:pPr>
              <w:overflowPunct w:val="0"/>
              <w:adjustRightInd w:val="0"/>
              <w:snapToGrid w:val="0"/>
              <w:rPr>
                <w:rFonts w:hint="eastAsia" w:ascii="宋体" w:hAnsi="宋体"/>
                <w:spacing w:val="-4"/>
                <w:kern w:val="0"/>
                <w:szCs w:val="21"/>
              </w:rPr>
            </w:pPr>
            <w:r>
              <w:rPr>
                <w:rFonts w:hint="eastAsia" w:ascii="宋体" w:hAnsi="宋体"/>
                <w:spacing w:val="-4"/>
                <w:kern w:val="0"/>
                <w:szCs w:val="21"/>
              </w:rPr>
              <w:t>同时具备以下条件：</w:t>
            </w:r>
          </w:p>
          <w:p w14:paraId="2BEB9640">
            <w:pPr>
              <w:overflowPunct w:val="0"/>
              <w:adjustRightInd w:val="0"/>
              <w:snapToGrid w:val="0"/>
              <w:spacing w:line="340" w:lineRule="exact"/>
              <w:textAlignment w:val="center"/>
              <w:rPr>
                <w:rFonts w:hint="eastAsia" w:ascii="宋体" w:hAnsi="宋体"/>
                <w:spacing w:val="-4"/>
                <w:kern w:val="0"/>
                <w:szCs w:val="21"/>
              </w:rPr>
            </w:pPr>
            <w:r>
              <w:rPr>
                <w:rFonts w:hint="eastAsia" w:ascii="宋体" w:hAnsi="宋体"/>
                <w:spacing w:val="-4"/>
                <w:kern w:val="0"/>
                <w:szCs w:val="21"/>
              </w:rPr>
              <w:t>1</w:t>
            </w:r>
            <w:r>
              <w:rPr>
                <w:rFonts w:ascii="宋体" w:hAnsi="宋体"/>
                <w:spacing w:val="-4"/>
                <w:kern w:val="0"/>
                <w:szCs w:val="21"/>
              </w:rPr>
              <w:t>.</w:t>
            </w:r>
            <w:r>
              <w:rPr>
                <w:rFonts w:hint="eastAsia" w:ascii="宋体" w:hAnsi="宋体"/>
                <w:spacing w:val="-4"/>
                <w:kern w:val="0"/>
                <w:szCs w:val="21"/>
              </w:rPr>
              <w:t>初次违法；</w:t>
            </w:r>
          </w:p>
          <w:p w14:paraId="54525E73">
            <w:pPr>
              <w:overflowPunct w:val="0"/>
              <w:adjustRightInd w:val="0"/>
              <w:snapToGrid w:val="0"/>
              <w:spacing w:line="340" w:lineRule="exact"/>
              <w:textAlignment w:val="center"/>
              <w:rPr>
                <w:rFonts w:hint="eastAsia" w:ascii="宋体" w:hAnsi="宋体"/>
                <w:spacing w:val="-4"/>
                <w:kern w:val="0"/>
                <w:szCs w:val="21"/>
              </w:rPr>
            </w:pPr>
            <w:r>
              <w:rPr>
                <w:rFonts w:hint="eastAsia" w:ascii="宋体" w:hAnsi="宋体"/>
                <w:spacing w:val="-4"/>
                <w:kern w:val="0"/>
                <w:szCs w:val="21"/>
              </w:rPr>
              <w:t>2</w:t>
            </w:r>
            <w:r>
              <w:rPr>
                <w:rFonts w:ascii="宋体" w:hAnsi="宋体"/>
                <w:spacing w:val="-4"/>
                <w:kern w:val="0"/>
                <w:szCs w:val="21"/>
              </w:rPr>
              <w:t>.</w:t>
            </w:r>
            <w:r>
              <w:rPr>
                <w:rFonts w:hint="eastAsia" w:ascii="宋体" w:hAnsi="宋体"/>
                <w:spacing w:val="-4"/>
                <w:kern w:val="0"/>
                <w:szCs w:val="21"/>
              </w:rPr>
              <w:t>未造成危害后果；</w:t>
            </w:r>
          </w:p>
          <w:p w14:paraId="7948D4BC">
            <w:pPr>
              <w:overflowPunct w:val="0"/>
              <w:adjustRightInd w:val="0"/>
              <w:snapToGrid w:val="0"/>
              <w:textAlignment w:val="center"/>
              <w:rPr>
                <w:rFonts w:hint="eastAsia" w:ascii="宋体" w:hAnsi="宋体" w:eastAsiaTheme="minorEastAsia" w:cstheme="minorBidi"/>
                <w:spacing w:val="-4"/>
                <w:kern w:val="0"/>
                <w:sz w:val="21"/>
                <w:szCs w:val="21"/>
                <w:lang w:val="en-US" w:eastAsia="zh-CN" w:bidi="ar-SA"/>
              </w:rPr>
            </w:pPr>
            <w:r>
              <w:rPr>
                <w:rFonts w:hint="eastAsia" w:ascii="宋体" w:hAnsi="宋体"/>
                <w:spacing w:val="-4"/>
                <w:kern w:val="0"/>
                <w:szCs w:val="21"/>
              </w:rPr>
              <w:t>3</w:t>
            </w:r>
            <w:r>
              <w:rPr>
                <w:rFonts w:ascii="宋体" w:hAnsi="宋体"/>
                <w:spacing w:val="-4"/>
                <w:kern w:val="0"/>
                <w:szCs w:val="21"/>
              </w:rPr>
              <w:t>.</w:t>
            </w:r>
            <w:r>
              <w:rPr>
                <w:rFonts w:hint="eastAsia" w:ascii="宋体" w:hAnsi="宋体"/>
                <w:spacing w:val="-4"/>
                <w:kern w:val="0"/>
                <w:szCs w:val="21"/>
              </w:rPr>
              <w:t>有传统饮食习惯或在部分地区视为普通食品或地方特色食品或保健品的（例人参、红参、黑参、三七等）。</w:t>
            </w:r>
          </w:p>
        </w:tc>
        <w:tc>
          <w:tcPr>
            <w:tcW w:w="5812" w:type="dxa"/>
            <w:shd w:val="clear" w:color="auto" w:fill="auto"/>
            <w:noWrap w:val="0"/>
            <w:vAlign w:val="center"/>
          </w:tcPr>
          <w:p w14:paraId="71883C1F">
            <w:pPr>
              <w:overflowPunct w:val="0"/>
              <w:adjustRightInd w:val="0"/>
              <w:snapToGrid w:val="0"/>
              <w:spacing w:line="340" w:lineRule="exact"/>
              <w:textAlignment w:val="center"/>
              <w:rPr>
                <w:rFonts w:ascii="宋体" w:hAnsi="宋体"/>
                <w:spacing w:val="-4"/>
                <w:kern w:val="0"/>
                <w:szCs w:val="21"/>
              </w:rPr>
            </w:pPr>
            <w:r>
              <w:rPr>
                <w:rFonts w:hint="eastAsia" w:ascii="宋体" w:hAnsi="宋体"/>
                <w:spacing w:val="-4"/>
                <w:kern w:val="0"/>
                <w:szCs w:val="21"/>
              </w:rPr>
              <w:t>《食品安全法》第三十八条  生产经营的食品中不得添加药品，但是可以添加按照传统既是食品又是中药材的物质。按照传统既是食品又是中药材的物质目录由国务院卫生行政部门会同国务院食品药品监督管理部门制定、公布。</w:t>
            </w:r>
          </w:p>
          <w:p w14:paraId="1298FECD">
            <w:pPr>
              <w:overflowPunct w:val="0"/>
              <w:adjustRightInd w:val="0"/>
              <w:snapToGrid w:val="0"/>
              <w:textAlignment w:val="center"/>
              <w:rPr>
                <w:rFonts w:hint="eastAsia" w:ascii="宋体" w:hAnsi="宋体" w:eastAsiaTheme="minorEastAsia" w:cstheme="minorBidi"/>
                <w:spacing w:val="-4"/>
                <w:kern w:val="0"/>
                <w:sz w:val="21"/>
                <w:szCs w:val="21"/>
                <w:lang w:val="en-US" w:eastAsia="zh-CN" w:bidi="ar-SA"/>
              </w:rPr>
            </w:pPr>
            <w:r>
              <w:rPr>
                <w:rFonts w:hint="eastAsia" w:ascii="宋体" w:hAnsi="宋体"/>
                <w:spacing w:val="-4"/>
                <w:kern w:val="0"/>
                <w:szCs w:val="21"/>
              </w:rPr>
              <w:t xml:space="preserve">第一百二十三条第一款第六项  </w:t>
            </w:r>
            <w:r>
              <w:rPr>
                <w:rFonts w:ascii="宋体" w:hAnsi="宋体"/>
                <w:spacing w:val="-4"/>
                <w:kern w:val="0"/>
                <w:szCs w:val="21"/>
              </w:rPr>
              <w:t xml:space="preserve">违反本法规定，有下列情形之一，尚不构成犯罪的，由县级以 上人民政府食品安全监督管理部门没收违法所得和违法生产经营的食品，并可以 没收用于违法生产经营的工具、设备、原料等物品；违法生产经营的食品货值金 额不足一万元的，并处十万元以上十五万元以下罚款；货值金额一万元以上的，并处货值金额十五倍以上三十倍以下罚款；情节严重的，吊销许可证，并可以由 公安机关对其直接负责的主管人员和其他直接责任人员处五日以上十五日以下 拘留： </w:t>
            </w:r>
            <w:r>
              <w:rPr>
                <w:rFonts w:hint="eastAsia" w:ascii="宋体" w:hAnsi="宋体"/>
                <w:spacing w:val="-4"/>
                <w:kern w:val="0"/>
                <w:szCs w:val="21"/>
              </w:rPr>
              <w:t>(六)生产经营添加药品的食品。</w:t>
            </w:r>
          </w:p>
        </w:tc>
        <w:tc>
          <w:tcPr>
            <w:tcW w:w="2017" w:type="dxa"/>
            <w:shd w:val="clear" w:color="auto" w:fill="auto"/>
            <w:noWrap w:val="0"/>
            <w:vAlign w:val="center"/>
          </w:tcPr>
          <w:p w14:paraId="727E0335">
            <w:pPr>
              <w:overflowPunct w:val="0"/>
              <w:adjustRightInd w:val="0"/>
              <w:snapToGrid w:val="0"/>
              <w:rPr>
                <w:rFonts w:hint="eastAsia" w:ascii="宋体" w:hAnsi="宋体" w:eastAsiaTheme="minorEastAsia" w:cstheme="minorBidi"/>
                <w:spacing w:val="-4"/>
                <w:kern w:val="2"/>
                <w:sz w:val="21"/>
                <w:szCs w:val="21"/>
                <w:lang w:val="en-US" w:eastAsia="zh-CN" w:bidi="ar-SA"/>
              </w:rPr>
            </w:pPr>
            <w:r>
              <w:rPr>
                <w:rFonts w:hint="eastAsia" w:ascii="宋体" w:hAnsi="宋体"/>
                <w:spacing w:val="-4"/>
                <w:szCs w:val="21"/>
              </w:rPr>
              <w:t>苏州市市场监督管理局及各市（区）市场监督管理局</w:t>
            </w:r>
          </w:p>
        </w:tc>
      </w:tr>
      <w:tr w14:paraId="68B620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76" w:hRule="atLeast"/>
        </w:trPr>
        <w:tc>
          <w:tcPr>
            <w:tcW w:w="432" w:type="dxa"/>
            <w:noWrap w:val="0"/>
            <w:vAlign w:val="center"/>
          </w:tcPr>
          <w:p w14:paraId="0E640C4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43</w:t>
            </w:r>
          </w:p>
        </w:tc>
        <w:tc>
          <w:tcPr>
            <w:tcW w:w="3112" w:type="dxa"/>
            <w:shd w:val="clear" w:color="auto" w:fill="auto"/>
            <w:noWrap w:val="0"/>
            <w:vAlign w:val="center"/>
          </w:tcPr>
          <w:p w14:paraId="2EED71D7">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通过自建网站交易的食品生产经营者未履行相应备案义务</w:t>
            </w:r>
          </w:p>
        </w:tc>
        <w:tc>
          <w:tcPr>
            <w:tcW w:w="2693" w:type="dxa"/>
            <w:shd w:val="clear" w:color="auto" w:fill="auto"/>
            <w:noWrap w:val="0"/>
            <w:vAlign w:val="center"/>
          </w:tcPr>
          <w:p w14:paraId="57BAB11A">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2EBB3F00">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738BF1D1">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4E5B4A4B">
            <w:pPr>
              <w:overflowPunct w:val="0"/>
              <w:adjustRightInd w:val="0"/>
              <w:snapToGrid w:val="0"/>
              <w:rPr>
                <w:rFonts w:hint="eastAsia"/>
                <w:color w:val="000000"/>
                <w:spacing w:val="-4"/>
                <w:kern w:val="0"/>
                <w:szCs w:val="21"/>
              </w:rPr>
            </w:pPr>
            <w:r>
              <w:rPr>
                <w:rFonts w:hint="eastAsia"/>
                <w:color w:val="000000"/>
                <w:spacing w:val="-4"/>
                <w:kern w:val="0"/>
                <w:szCs w:val="21"/>
              </w:rPr>
              <w:t>《网络食品安全违法行为查处办法》第八条第二款  通过自建网站交易的食品生产经营者应当在通信主管部门批准后30个工作日内，向所在地市、县级食品药品监督管理部门备案，取得备案号。</w:t>
            </w:r>
          </w:p>
          <w:p w14:paraId="49F53BC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《网络食品安全违法行为查处办法》第二十九条 违反本办法第八条规定，网络食品交易第三方平台提供者和通过自建网站交易的食品生产经营者未履行相应备案义务的，由县级以上地方食品药品监督管理部门责令改正，给予警告；拒不改正的，处5000元以上3万元以下罚款。</w:t>
            </w:r>
          </w:p>
        </w:tc>
        <w:tc>
          <w:tcPr>
            <w:tcW w:w="2017" w:type="dxa"/>
            <w:shd w:val="clear" w:color="auto" w:fill="auto"/>
            <w:noWrap w:val="0"/>
            <w:vAlign w:val="center"/>
          </w:tcPr>
          <w:p w14:paraId="32FBF96F">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D62F5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721" w:hRule="atLeast"/>
        </w:trPr>
        <w:tc>
          <w:tcPr>
            <w:tcW w:w="432" w:type="dxa"/>
            <w:noWrap w:val="0"/>
            <w:vAlign w:val="center"/>
          </w:tcPr>
          <w:p w14:paraId="40CA831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44</w:t>
            </w:r>
          </w:p>
        </w:tc>
        <w:tc>
          <w:tcPr>
            <w:tcW w:w="3112" w:type="dxa"/>
            <w:shd w:val="clear" w:color="auto" w:fill="auto"/>
            <w:noWrap w:val="0"/>
            <w:vAlign w:val="center"/>
          </w:tcPr>
          <w:p w14:paraId="757A77E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通过自建网站交易的食品生产经营者不具备数据备份、故障恢复等技术条件，不能保障网络食品交易数据和资料的可靠性与安全性</w:t>
            </w:r>
          </w:p>
        </w:tc>
        <w:tc>
          <w:tcPr>
            <w:tcW w:w="2693" w:type="dxa"/>
            <w:shd w:val="clear" w:color="auto" w:fill="auto"/>
            <w:noWrap w:val="0"/>
            <w:vAlign w:val="center"/>
          </w:tcPr>
          <w:p w14:paraId="2141EFC1">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269AEEAF">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0645D0C9">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355D69B1">
            <w:pPr>
              <w:overflowPunct w:val="0"/>
              <w:adjustRightInd w:val="0"/>
              <w:snapToGrid w:val="0"/>
              <w:rPr>
                <w:rFonts w:hint="eastAsia"/>
                <w:color w:val="000000"/>
                <w:spacing w:val="-4"/>
                <w:kern w:val="0"/>
                <w:szCs w:val="21"/>
              </w:rPr>
            </w:pPr>
            <w:r>
              <w:rPr>
                <w:rFonts w:hint="eastAsia"/>
                <w:color w:val="000000"/>
                <w:spacing w:val="-4"/>
                <w:kern w:val="0"/>
                <w:szCs w:val="21"/>
              </w:rPr>
              <w:t>《网络食品安全违法行为查处办法》第九条 网络食品交易第三方平台提供者和通过自建网站交易的食品生产经营者应当具备数据备份、故障恢复等技术条件，保障网络食品交易数据和资料的可靠性与安全性。</w:t>
            </w:r>
          </w:p>
          <w:p w14:paraId="70177F6D">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《网络食品安全违法行为查处办法》第三十条 违反本办法第九条规定，网络食品交易第三方平台提供者和通过自建网站交易的食品生产经营者不具备数据备份、故障恢复等技术条件，不能保障网络食品交易数据和资料的可靠性与安全性的，由县级以上地方食品药品监督管理部门责令改正，给予警告；拒不改正的，处3万元罚款。</w:t>
            </w:r>
          </w:p>
        </w:tc>
        <w:tc>
          <w:tcPr>
            <w:tcW w:w="2017" w:type="dxa"/>
            <w:shd w:val="clear" w:color="auto" w:fill="auto"/>
            <w:noWrap w:val="0"/>
            <w:vAlign w:val="center"/>
          </w:tcPr>
          <w:p w14:paraId="5CE53A88">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E930E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438" w:hRule="atLeast"/>
        </w:trPr>
        <w:tc>
          <w:tcPr>
            <w:tcW w:w="432" w:type="dxa"/>
            <w:noWrap w:val="0"/>
            <w:vAlign w:val="center"/>
          </w:tcPr>
          <w:p w14:paraId="67BD32A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45</w:t>
            </w:r>
          </w:p>
        </w:tc>
        <w:tc>
          <w:tcPr>
            <w:tcW w:w="3112" w:type="dxa"/>
            <w:shd w:val="clear" w:color="auto" w:fill="auto"/>
            <w:noWrap w:val="0"/>
            <w:vAlign w:val="center"/>
          </w:tcPr>
          <w:p w14:paraId="0E917EF1">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入网食品生产经营者未按要求进行信息公示</w:t>
            </w:r>
          </w:p>
        </w:tc>
        <w:tc>
          <w:tcPr>
            <w:tcW w:w="2693" w:type="dxa"/>
            <w:shd w:val="clear" w:color="auto" w:fill="auto"/>
            <w:noWrap w:val="0"/>
            <w:vAlign w:val="center"/>
          </w:tcPr>
          <w:p w14:paraId="52629138">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3076BC6C">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547C198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03F0CD5C">
            <w:pPr>
              <w:overflowPunct w:val="0"/>
              <w:adjustRightInd w:val="0"/>
              <w:snapToGrid w:val="0"/>
              <w:rPr>
                <w:rFonts w:hint="eastAsia"/>
                <w:color w:val="000000"/>
                <w:spacing w:val="-4"/>
                <w:kern w:val="0"/>
                <w:szCs w:val="21"/>
              </w:rPr>
            </w:pPr>
            <w:r>
              <w:rPr>
                <w:rFonts w:hint="eastAsia"/>
                <w:color w:val="000000"/>
                <w:spacing w:val="-4"/>
                <w:kern w:val="0"/>
                <w:szCs w:val="21"/>
              </w:rPr>
              <w:t>《网络食品安全违法行为查处办法》第十八条 通过第三方平台进行交易的食品生产经营者应当在其经营活动主页面显著位置公示其食品生产经营许可证。通过自建网站交易的食品生产经营者应当在其网站首页显著位置公示营业执照、食品生产经营许可证。</w:t>
            </w:r>
          </w:p>
          <w:p w14:paraId="14731597">
            <w:pPr>
              <w:overflowPunct w:val="0"/>
              <w:adjustRightInd w:val="0"/>
              <w:snapToGrid w:val="0"/>
              <w:rPr>
                <w:rFonts w:hint="eastAsia"/>
                <w:color w:val="000000"/>
                <w:spacing w:val="-4"/>
                <w:kern w:val="0"/>
                <w:szCs w:val="21"/>
              </w:rPr>
            </w:pPr>
            <w:r>
              <w:rPr>
                <w:rFonts w:hint="eastAsia"/>
                <w:color w:val="000000"/>
                <w:spacing w:val="-4"/>
                <w:kern w:val="0"/>
                <w:szCs w:val="21"/>
              </w:rPr>
              <w:t>餐饮服务提供者还应当同时公示其餐饮服务食品安全监督量化分级管理信息。相关信息应当画面清晰，容易辨识。</w:t>
            </w:r>
          </w:p>
          <w:p w14:paraId="73ED5722">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《网络食品安全违法行为查处办法》第四十条 违反本办法第十八条规定，入网食品生产经营者未按要求进行信息公示的，由县级以上地方食品药品监督管理部门责令改正，给予警告；拒不改正的，处5000元以上3万元以下罚款。</w:t>
            </w:r>
          </w:p>
        </w:tc>
        <w:tc>
          <w:tcPr>
            <w:tcW w:w="2017" w:type="dxa"/>
            <w:shd w:val="clear" w:color="auto" w:fill="auto"/>
            <w:noWrap w:val="0"/>
            <w:vAlign w:val="center"/>
          </w:tcPr>
          <w:p w14:paraId="3C80B19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85172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438" w:hRule="atLeast"/>
        </w:trPr>
        <w:tc>
          <w:tcPr>
            <w:tcW w:w="432" w:type="dxa"/>
            <w:noWrap w:val="0"/>
            <w:vAlign w:val="center"/>
          </w:tcPr>
          <w:p w14:paraId="70761DD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46</w:t>
            </w:r>
          </w:p>
        </w:tc>
        <w:tc>
          <w:tcPr>
            <w:tcW w:w="3112" w:type="dxa"/>
            <w:shd w:val="clear" w:color="auto" w:fill="auto"/>
            <w:noWrap w:val="0"/>
            <w:vAlign w:val="center"/>
          </w:tcPr>
          <w:p w14:paraId="3CBF3CC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 xml:space="preserve">未在经营场所和网站、网店首页的显著位置标明真实名称和标记 </w:t>
            </w:r>
          </w:p>
        </w:tc>
        <w:tc>
          <w:tcPr>
            <w:tcW w:w="2693" w:type="dxa"/>
            <w:shd w:val="clear" w:color="auto" w:fill="auto"/>
            <w:noWrap w:val="0"/>
            <w:vAlign w:val="center"/>
          </w:tcPr>
          <w:p w14:paraId="73A77BE5">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49ED7083">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729CF162">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62355B19">
            <w:pPr>
              <w:overflowPunct w:val="0"/>
              <w:adjustRightInd w:val="0"/>
              <w:snapToGrid w:val="0"/>
              <w:rPr>
                <w:rFonts w:hint="eastAsia"/>
                <w:color w:val="000000"/>
                <w:spacing w:val="-4"/>
                <w:kern w:val="0"/>
                <w:szCs w:val="21"/>
              </w:rPr>
            </w:pPr>
            <w:r>
              <w:rPr>
                <w:rFonts w:hint="eastAsia"/>
                <w:color w:val="000000"/>
                <w:spacing w:val="-4"/>
                <w:kern w:val="0"/>
                <w:szCs w:val="21"/>
              </w:rPr>
              <w:t>《江苏省消费者权益保护条例》第十条第一款 经营者应当在经营场所和网站、网店首页的显著位置标明其真实名称和标记。标明经营者名称的位置、字体、颜色等，应当便于识别。</w:t>
            </w:r>
          </w:p>
          <w:p w14:paraId="49657BB7">
            <w:pPr>
              <w:overflowPunct w:val="0"/>
              <w:adjustRightInd w:val="0"/>
              <w:snapToGrid w:val="0"/>
              <w:rPr>
                <w:rFonts w:hint="eastAsia"/>
                <w:color w:val="000000"/>
                <w:spacing w:val="-4"/>
                <w:kern w:val="0"/>
                <w:szCs w:val="21"/>
              </w:rPr>
            </w:pPr>
            <w:r>
              <w:rPr>
                <w:rFonts w:hint="eastAsia"/>
                <w:color w:val="000000"/>
                <w:spacing w:val="-4"/>
                <w:kern w:val="0"/>
                <w:szCs w:val="21"/>
              </w:rPr>
              <w:t xml:space="preserve">《江苏省消费者权益保护条例》第六十一条第（二）项 </w:t>
            </w:r>
          </w:p>
          <w:p w14:paraId="39808C7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经营者等有下列情形之一的，由工商行政管理部门或者其他有关行政部门责令改正，可以根据情节单处或者并处警告、五千元以上五万元以下的罚款；情节严重的，责令停业整顿：（二）违反第十条第一款规定，未按规定在显著位置标明真实名称和标记的；</w:t>
            </w:r>
          </w:p>
        </w:tc>
        <w:tc>
          <w:tcPr>
            <w:tcW w:w="2017" w:type="dxa"/>
            <w:shd w:val="clear" w:color="auto" w:fill="auto"/>
            <w:noWrap w:val="0"/>
            <w:vAlign w:val="center"/>
          </w:tcPr>
          <w:p w14:paraId="23FEC90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1124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438" w:hRule="atLeast"/>
        </w:trPr>
        <w:tc>
          <w:tcPr>
            <w:tcW w:w="432" w:type="dxa"/>
            <w:noWrap w:val="0"/>
            <w:vAlign w:val="center"/>
          </w:tcPr>
          <w:p w14:paraId="20912FD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47</w:t>
            </w:r>
          </w:p>
        </w:tc>
        <w:tc>
          <w:tcPr>
            <w:tcW w:w="3112" w:type="dxa"/>
            <w:shd w:val="clear" w:color="auto" w:fill="auto"/>
            <w:noWrap w:val="0"/>
            <w:vAlign w:val="center"/>
          </w:tcPr>
          <w:p w14:paraId="29285783">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未出具发票等购货凭证、服务单据或者收费清单</w:t>
            </w:r>
          </w:p>
        </w:tc>
        <w:tc>
          <w:tcPr>
            <w:tcW w:w="2693" w:type="dxa"/>
            <w:shd w:val="clear" w:color="auto" w:fill="auto"/>
            <w:noWrap w:val="0"/>
            <w:vAlign w:val="center"/>
          </w:tcPr>
          <w:p w14:paraId="6C666B8C">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1CE691E5">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47203D0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201329A5">
            <w:pPr>
              <w:overflowPunct w:val="0"/>
              <w:adjustRightInd w:val="0"/>
              <w:snapToGrid w:val="0"/>
              <w:rPr>
                <w:rFonts w:hint="eastAsia"/>
                <w:color w:val="000000"/>
                <w:spacing w:val="-4"/>
                <w:kern w:val="0"/>
                <w:szCs w:val="21"/>
              </w:rPr>
            </w:pPr>
            <w:r>
              <w:rPr>
                <w:rFonts w:hint="eastAsia"/>
                <w:color w:val="000000"/>
                <w:spacing w:val="-4"/>
                <w:kern w:val="0"/>
                <w:szCs w:val="21"/>
              </w:rPr>
              <w:t>《江苏省消费者权益保护条例》第十四条 经营者提供商品或者服务，应当按照国家有关规定或者商业惯例，向消费者出具发票等购货凭证、服务单据；征得消费者同意后，可以电子化形式出具。消费者要求提供购货凭证、服务单据以外的收费清单的，经营者应当提供。</w:t>
            </w:r>
          </w:p>
          <w:p w14:paraId="3B51B48C">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《江苏省消费者权益保护条例》第六十一条第（四）项 经营者等有下列情形之一的，由工商行政管理部门或者其他有关行政部门责令改正，可以根据情节单处或者并处警告、五千元以上五万元以下的罚款；情节严重的，责令停业整顿：（四）违反第十四条规定，未按照国家有关规定、商业惯例和消费者要求，出具发票等购货凭证、服务单据或者收费清单的。</w:t>
            </w:r>
          </w:p>
        </w:tc>
        <w:tc>
          <w:tcPr>
            <w:tcW w:w="2017" w:type="dxa"/>
            <w:shd w:val="clear" w:color="auto" w:fill="auto"/>
            <w:noWrap w:val="0"/>
            <w:vAlign w:val="center"/>
          </w:tcPr>
          <w:p w14:paraId="48903F66">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6C03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98" w:hRule="atLeast"/>
        </w:trPr>
        <w:tc>
          <w:tcPr>
            <w:tcW w:w="432" w:type="dxa"/>
            <w:noWrap w:val="0"/>
            <w:vAlign w:val="center"/>
          </w:tcPr>
          <w:p w14:paraId="3DE73CB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48</w:t>
            </w:r>
          </w:p>
        </w:tc>
        <w:tc>
          <w:tcPr>
            <w:tcW w:w="3112" w:type="dxa"/>
            <w:shd w:val="clear" w:color="auto" w:fill="auto"/>
            <w:noWrap w:val="0"/>
            <w:vAlign w:val="center"/>
          </w:tcPr>
          <w:p w14:paraId="7701579F">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未经显著方式明示收取费用或者未提供符合卫生条件的免费餐具供消费者选择</w:t>
            </w:r>
          </w:p>
        </w:tc>
        <w:tc>
          <w:tcPr>
            <w:tcW w:w="2693" w:type="dxa"/>
            <w:shd w:val="clear" w:color="auto" w:fill="auto"/>
            <w:noWrap w:val="0"/>
            <w:vAlign w:val="center"/>
          </w:tcPr>
          <w:p w14:paraId="46DF8CAC">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0041788F">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493D386A">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2444F4B9">
            <w:pPr>
              <w:overflowPunct w:val="0"/>
              <w:adjustRightInd w:val="0"/>
              <w:snapToGrid w:val="0"/>
              <w:rPr>
                <w:rFonts w:hint="eastAsia"/>
                <w:color w:val="000000"/>
                <w:spacing w:val="-4"/>
                <w:kern w:val="0"/>
                <w:szCs w:val="21"/>
              </w:rPr>
            </w:pPr>
            <w:r>
              <w:rPr>
                <w:rFonts w:hint="eastAsia"/>
                <w:color w:val="000000"/>
                <w:spacing w:val="-4"/>
                <w:kern w:val="0"/>
                <w:szCs w:val="21"/>
              </w:rPr>
              <w:t>《江苏省消费者权益保护条例》第三十五条 餐饮业经营者应当以显著方式向消费者明示所提供商品和服务项目的价格、数量和规格。未事先明示告知的，不得收取费用。</w:t>
            </w:r>
          </w:p>
          <w:p w14:paraId="57D57005">
            <w:pPr>
              <w:overflowPunct w:val="0"/>
              <w:adjustRightInd w:val="0"/>
              <w:snapToGrid w:val="0"/>
              <w:rPr>
                <w:rFonts w:hint="eastAsia"/>
                <w:color w:val="000000"/>
                <w:spacing w:val="-4"/>
                <w:kern w:val="0"/>
                <w:szCs w:val="21"/>
              </w:rPr>
            </w:pPr>
            <w:r>
              <w:rPr>
                <w:rFonts w:hint="eastAsia"/>
                <w:color w:val="000000"/>
                <w:spacing w:val="-4"/>
                <w:kern w:val="0"/>
                <w:szCs w:val="21"/>
              </w:rPr>
              <w:t>餐饮业经营者应当提供符合卫生标准的餐具，使用集中消毒套装收费餐具的经营者应当同时提供免费餐具供消费者选择。</w:t>
            </w:r>
          </w:p>
          <w:p w14:paraId="09691240">
            <w:pPr>
              <w:overflowPunct w:val="0"/>
              <w:adjustRightInd w:val="0"/>
              <w:snapToGrid w:val="0"/>
              <w:rPr>
                <w:rFonts w:hint="eastAsia"/>
                <w:color w:val="000000"/>
                <w:spacing w:val="-4"/>
                <w:kern w:val="0"/>
                <w:szCs w:val="21"/>
              </w:rPr>
            </w:pPr>
            <w:r>
              <w:rPr>
                <w:rFonts w:hint="eastAsia"/>
                <w:color w:val="000000"/>
                <w:spacing w:val="-4"/>
                <w:kern w:val="0"/>
                <w:szCs w:val="21"/>
              </w:rPr>
              <w:t xml:space="preserve">《江苏省消费者权益保护条例》第六十五条第（二）项 </w:t>
            </w:r>
          </w:p>
          <w:p w14:paraId="610D118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经营者有下列情形之一，法律、法规对处罚机关和处罚方式已有规定的，从其规定；法律、法规未作规定的，由工商行政管理部门或者其他有关行政部门责令改正，没收违法所得，可以并处五千元以上五万元以下的罚款；情节严重的，处以五万元以上十万元以下的罚款，责令停业整顿：（二）违反第三十五条规定，未经显著方式明示收取费用或者未提供符合卫生条件的免费餐具供消费者选择的；</w:t>
            </w:r>
          </w:p>
        </w:tc>
        <w:tc>
          <w:tcPr>
            <w:tcW w:w="2017" w:type="dxa"/>
            <w:shd w:val="clear" w:color="auto" w:fill="auto"/>
            <w:noWrap w:val="0"/>
            <w:vAlign w:val="center"/>
          </w:tcPr>
          <w:p w14:paraId="2BF3444B">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54C9DE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76" w:hRule="atLeast"/>
        </w:trPr>
        <w:tc>
          <w:tcPr>
            <w:tcW w:w="432" w:type="dxa"/>
            <w:noWrap w:val="0"/>
            <w:vAlign w:val="center"/>
          </w:tcPr>
          <w:p w14:paraId="5F782EF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49</w:t>
            </w:r>
          </w:p>
        </w:tc>
        <w:tc>
          <w:tcPr>
            <w:tcW w:w="3112" w:type="dxa"/>
            <w:shd w:val="clear" w:color="auto" w:fill="auto"/>
            <w:noWrap w:val="0"/>
            <w:vAlign w:val="center"/>
          </w:tcPr>
          <w:p w14:paraId="14E4BA95">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明码标价不规范</w:t>
            </w:r>
          </w:p>
        </w:tc>
        <w:tc>
          <w:tcPr>
            <w:tcW w:w="2693" w:type="dxa"/>
            <w:shd w:val="clear" w:color="auto" w:fill="auto"/>
            <w:noWrap w:val="0"/>
            <w:vAlign w:val="center"/>
          </w:tcPr>
          <w:p w14:paraId="11A8B8A8">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6956F745">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4E3278DB">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6E407E9D">
            <w:pPr>
              <w:overflowPunct w:val="0"/>
              <w:adjustRightInd w:val="0"/>
              <w:snapToGrid w:val="0"/>
              <w:jc w:val="left"/>
              <w:rPr>
                <w:rFonts w:hint="eastAsia"/>
                <w:color w:val="000000"/>
                <w:spacing w:val="-4"/>
                <w:kern w:val="0"/>
                <w:szCs w:val="21"/>
              </w:rPr>
            </w:pPr>
            <w:r>
              <w:rPr>
                <w:rFonts w:hint="eastAsia"/>
                <w:color w:val="000000"/>
                <w:spacing w:val="-4"/>
                <w:kern w:val="0"/>
                <w:szCs w:val="21"/>
              </w:rPr>
              <w:t>《价格法》第十三条第一款  经营者销售、收购商品和提供服务，应当按照政府价格主管部门的规定明码标价，注明商品的品名、产地、规格、等级、计价单位、价格或者服务的项目、收费标准等有关情况。</w:t>
            </w:r>
          </w:p>
          <w:p w14:paraId="784EF0A2">
            <w:pPr>
              <w:overflowPunct w:val="0"/>
              <w:adjustRightInd w:val="0"/>
              <w:snapToGrid w:val="0"/>
              <w:jc w:val="left"/>
              <w:rPr>
                <w:color w:val="000000"/>
                <w:spacing w:val="-4"/>
                <w:kern w:val="0"/>
                <w:szCs w:val="21"/>
              </w:rPr>
            </w:pPr>
            <w:r>
              <w:rPr>
                <w:rFonts w:hint="eastAsia"/>
                <w:color w:val="000000"/>
                <w:spacing w:val="-4"/>
                <w:kern w:val="0"/>
                <w:szCs w:val="21"/>
              </w:rPr>
              <w:t>《明码标价和禁止价格欺诈规定》第五条</w:t>
            </w:r>
            <w:r>
              <w:rPr>
                <w:color w:val="000000"/>
                <w:spacing w:val="-4"/>
                <w:kern w:val="0"/>
                <w:szCs w:val="21"/>
              </w:rPr>
              <w:t xml:space="preserve"> </w:t>
            </w:r>
            <w:r>
              <w:t>明码标价应当根据商品和服务、行业、区域等特点，做到真实准确、货签对位、标识醒目。</w:t>
            </w:r>
            <w:r>
              <w:rPr>
                <w:rFonts w:hint="eastAsia"/>
                <w:color w:val="000000"/>
                <w:spacing w:val="-4"/>
                <w:kern w:val="0"/>
                <w:szCs w:val="21"/>
              </w:rPr>
              <w:t>《明码标价和禁止价格欺诈规定》</w:t>
            </w:r>
            <w:r>
              <w:t>第二十二条 </w:t>
            </w:r>
            <w:r>
              <w:rPr>
                <w:color w:val="000000"/>
                <w:spacing w:val="-4"/>
                <w:kern w:val="0"/>
                <w:szCs w:val="21"/>
              </w:rPr>
              <w:t xml:space="preserve"> </w:t>
            </w:r>
            <w:r>
              <w:t>经营者违反本规定有关明码标价规定的，由县级以上市场监督管理部门依照《中华人民共和国价格法》《价格违法行为行政处罚规定》有关规定进行处罚。</w:t>
            </w:r>
          </w:p>
          <w:p w14:paraId="619D9D3D">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《价格法》第四十二条  经营者违反明码标价规定的，责令改正，没收违法所得，可以并处五千元以下的罚款。</w:t>
            </w:r>
          </w:p>
        </w:tc>
        <w:tc>
          <w:tcPr>
            <w:tcW w:w="2017" w:type="dxa"/>
            <w:shd w:val="clear" w:color="auto" w:fill="auto"/>
            <w:noWrap w:val="0"/>
            <w:vAlign w:val="center"/>
          </w:tcPr>
          <w:p w14:paraId="1FA66869">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0F500C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513" w:hRule="atLeast"/>
        </w:trPr>
        <w:tc>
          <w:tcPr>
            <w:tcW w:w="432" w:type="dxa"/>
            <w:noWrap w:val="0"/>
            <w:vAlign w:val="center"/>
          </w:tcPr>
          <w:p w14:paraId="217F9A8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50</w:t>
            </w:r>
          </w:p>
        </w:tc>
        <w:tc>
          <w:tcPr>
            <w:tcW w:w="3112" w:type="dxa"/>
            <w:shd w:val="clear" w:color="auto" w:fill="auto"/>
            <w:noWrap w:val="0"/>
            <w:vAlign w:val="center"/>
          </w:tcPr>
          <w:p w14:paraId="1137072D">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价格变动时个别标价签未能及时调整到位</w:t>
            </w:r>
          </w:p>
        </w:tc>
        <w:tc>
          <w:tcPr>
            <w:tcW w:w="2693" w:type="dxa"/>
            <w:shd w:val="clear" w:color="auto" w:fill="auto"/>
            <w:noWrap w:val="0"/>
            <w:vAlign w:val="center"/>
          </w:tcPr>
          <w:p w14:paraId="4D9C0D87">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050CF3CD">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 非主观故意；</w:t>
            </w:r>
          </w:p>
          <w:p w14:paraId="6C4D1A11">
            <w:pPr>
              <w:overflowPunct w:val="0"/>
              <w:adjustRightInd w:val="0"/>
              <w:snapToGrid w:val="0"/>
              <w:rPr>
                <w:rFonts w:hint="eastAsia"/>
                <w:color w:val="000000"/>
                <w:spacing w:val="-4"/>
                <w:kern w:val="0"/>
                <w:szCs w:val="21"/>
              </w:rPr>
            </w:pPr>
            <w:r>
              <w:rPr>
                <w:rFonts w:hint="eastAsia"/>
                <w:color w:val="000000"/>
                <w:spacing w:val="-4"/>
                <w:kern w:val="0"/>
                <w:szCs w:val="21"/>
              </w:rPr>
              <w:t>3.及时纠正；</w:t>
            </w:r>
          </w:p>
          <w:p w14:paraId="5B1169F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4.危害后果轻微。</w:t>
            </w:r>
          </w:p>
        </w:tc>
        <w:tc>
          <w:tcPr>
            <w:tcW w:w="5812" w:type="dxa"/>
            <w:shd w:val="clear" w:color="auto" w:fill="auto"/>
            <w:noWrap w:val="0"/>
            <w:vAlign w:val="center"/>
          </w:tcPr>
          <w:p w14:paraId="02C543BC">
            <w:pPr>
              <w:pStyle w:val="8"/>
              <w:shd w:val="clear" w:color="auto" w:fill="FFFFFF"/>
              <w:spacing w:before="0" w:beforeAutospacing="0" w:after="0" w:afterAutospacing="0"/>
              <w:rPr>
                <w:color w:val="000000"/>
                <w:spacing w:val="-4"/>
                <w:sz w:val="21"/>
                <w:szCs w:val="21"/>
              </w:rPr>
            </w:pPr>
            <w:r>
              <w:rPr>
                <w:rFonts w:hint="eastAsia"/>
                <w:color w:val="000000"/>
                <w:spacing w:val="-4"/>
                <w:szCs w:val="21"/>
              </w:rPr>
              <w:t>《</w:t>
            </w:r>
            <w:r>
              <w:rPr>
                <w:rFonts w:hint="eastAsia"/>
                <w:color w:val="000000"/>
                <w:spacing w:val="-4"/>
                <w:sz w:val="21"/>
                <w:szCs w:val="21"/>
              </w:rPr>
              <w:t>明码标价和禁止价格欺诈规定</w:t>
            </w:r>
            <w:r>
              <w:rPr>
                <w:rFonts w:hint="eastAsia"/>
                <w:color w:val="000000"/>
                <w:spacing w:val="-4"/>
                <w:szCs w:val="21"/>
              </w:rPr>
              <w:t>》</w:t>
            </w:r>
            <w:r>
              <w:rPr>
                <w:rFonts w:hint="eastAsia"/>
                <w:color w:val="000000"/>
                <w:spacing w:val="-4"/>
                <w:sz w:val="21"/>
                <w:szCs w:val="21"/>
              </w:rPr>
              <w:t>第六条</w:t>
            </w:r>
            <w:r>
              <w:rPr>
                <w:color w:val="000000"/>
                <w:spacing w:val="-4"/>
                <w:sz w:val="21"/>
                <w:szCs w:val="21"/>
              </w:rPr>
              <w:t xml:space="preserve">  </w:t>
            </w:r>
            <w:r>
              <w:rPr>
                <w:rFonts w:hint="eastAsia"/>
                <w:color w:val="000000"/>
                <w:spacing w:val="-4"/>
                <w:sz w:val="21"/>
                <w:szCs w:val="21"/>
              </w:rPr>
              <w:t>经营者应当以显著方式进行明码标价，明确标示价格所对应的商品或者服务。经营者根据不同交易条件实行不同价格的，应当标明交易条件以及与其对应的价格。</w:t>
            </w:r>
          </w:p>
          <w:p w14:paraId="0A477088">
            <w:pPr>
              <w:widowControl/>
              <w:shd w:val="clear" w:color="auto" w:fill="FFFFFF"/>
              <w:ind w:firstLine="480"/>
              <w:jc w:val="left"/>
              <w:rPr>
                <w:color w:val="000000"/>
                <w:spacing w:val="-4"/>
                <w:kern w:val="0"/>
                <w:szCs w:val="21"/>
              </w:rPr>
            </w:pPr>
            <w:r>
              <w:rPr>
                <w:rFonts w:hint="eastAsia"/>
                <w:color w:val="000000"/>
                <w:spacing w:val="-4"/>
                <w:kern w:val="0"/>
                <w:szCs w:val="21"/>
              </w:rPr>
              <w:t>商品或者服务的价格发生变动时，经营者应当及时调整相应标价。</w:t>
            </w:r>
          </w:p>
          <w:p w14:paraId="51F88BBE">
            <w:pPr>
              <w:widowControl/>
              <w:shd w:val="clear" w:color="auto" w:fill="FFFFFF"/>
              <w:jc w:val="left"/>
              <w:rPr>
                <w:rFonts w:hint="eastAsia"/>
                <w:color w:val="000000"/>
                <w:spacing w:val="-4"/>
                <w:kern w:val="0"/>
                <w:szCs w:val="21"/>
              </w:rPr>
            </w:pPr>
            <w:r>
              <w:rPr>
                <w:rFonts w:hint="eastAsia"/>
                <w:color w:val="000000"/>
                <w:spacing w:val="-4"/>
                <w:kern w:val="0"/>
                <w:szCs w:val="21"/>
              </w:rPr>
              <w:t>《明码标价和禁止价格欺诈规定》</w:t>
            </w:r>
            <w:r>
              <w:t>第二十二条</w:t>
            </w:r>
            <w:r>
              <w:rPr>
                <w:rFonts w:hint="eastAsia"/>
              </w:rPr>
              <w:t xml:space="preserve"> </w:t>
            </w:r>
            <w:r>
              <w:t> 经营者违反本规定有关明码标价规定的，由县级以上市场监督管理部门依照《中华人民共和国价格法》《价格违法行为行政处罚规定》有关规定进行处罚。</w:t>
            </w:r>
          </w:p>
          <w:p w14:paraId="433F520D">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《价格法》第四十二条  经营者违反明码标价规定的，责令改正，没收违法所得，可以并处五千元以下的罚款。</w:t>
            </w:r>
          </w:p>
        </w:tc>
        <w:tc>
          <w:tcPr>
            <w:tcW w:w="2017" w:type="dxa"/>
            <w:shd w:val="clear" w:color="auto" w:fill="auto"/>
            <w:noWrap w:val="0"/>
            <w:vAlign w:val="center"/>
          </w:tcPr>
          <w:p w14:paraId="786154E2">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4AD47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59" w:hRule="atLeast"/>
        </w:trPr>
        <w:tc>
          <w:tcPr>
            <w:tcW w:w="432" w:type="dxa"/>
            <w:noWrap w:val="0"/>
            <w:vAlign w:val="center"/>
          </w:tcPr>
          <w:p w14:paraId="410312C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51</w:t>
            </w:r>
          </w:p>
        </w:tc>
        <w:tc>
          <w:tcPr>
            <w:tcW w:w="3112" w:type="dxa"/>
            <w:shd w:val="clear" w:color="auto" w:fill="auto"/>
            <w:noWrap w:val="0"/>
            <w:vAlign w:val="center"/>
          </w:tcPr>
          <w:p w14:paraId="0B931D9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未能做到价签价目齐全、标价内容真实明确</w:t>
            </w:r>
          </w:p>
        </w:tc>
        <w:tc>
          <w:tcPr>
            <w:tcW w:w="2693" w:type="dxa"/>
            <w:shd w:val="clear" w:color="auto" w:fill="auto"/>
            <w:noWrap w:val="0"/>
            <w:vAlign w:val="center"/>
          </w:tcPr>
          <w:p w14:paraId="5C38EE51">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3E8297AB">
            <w:pPr>
              <w:overflowPunct w:val="0"/>
              <w:adjustRightInd w:val="0"/>
              <w:snapToGrid w:val="0"/>
              <w:rPr>
                <w:rFonts w:hint="eastAsia"/>
                <w:color w:val="000000"/>
                <w:spacing w:val="-4"/>
                <w:kern w:val="0"/>
                <w:szCs w:val="21"/>
              </w:rPr>
            </w:pPr>
            <w:r>
              <w:rPr>
                <w:rFonts w:hint="eastAsia"/>
                <w:color w:val="000000"/>
                <w:spacing w:val="-4"/>
                <w:szCs w:val="21"/>
              </w:rPr>
              <w:t>1.首次实施此类违法行为；2.</w:t>
            </w:r>
            <w:r>
              <w:rPr>
                <w:rFonts w:hint="eastAsia"/>
                <w:color w:val="000000"/>
                <w:spacing w:val="-4"/>
                <w:kern w:val="0"/>
                <w:szCs w:val="21"/>
              </w:rPr>
              <w:t>有证据证明因厂家对产品产地、规格等内容进行调整后未及时发现并进行调整；3.及时纠正；</w:t>
            </w:r>
          </w:p>
          <w:p w14:paraId="462EB44B">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4.危害后果轻微。</w:t>
            </w:r>
          </w:p>
        </w:tc>
        <w:tc>
          <w:tcPr>
            <w:tcW w:w="5812" w:type="dxa"/>
            <w:shd w:val="clear" w:color="auto" w:fill="auto"/>
            <w:noWrap w:val="0"/>
            <w:vAlign w:val="center"/>
          </w:tcPr>
          <w:p w14:paraId="0C336D71">
            <w:pPr>
              <w:pStyle w:val="8"/>
              <w:shd w:val="clear" w:color="auto" w:fill="FFFFFF"/>
              <w:spacing w:before="0" w:beforeAutospacing="0" w:after="0" w:afterAutospacing="0"/>
              <w:rPr>
                <w:color w:val="000000"/>
                <w:spacing w:val="-4"/>
                <w:sz w:val="21"/>
                <w:szCs w:val="21"/>
              </w:rPr>
            </w:pPr>
            <w:r>
              <w:rPr>
                <w:rFonts w:hint="eastAsia"/>
                <w:color w:val="000000"/>
                <w:spacing w:val="-4"/>
                <w:szCs w:val="21"/>
              </w:rPr>
              <w:t>《</w:t>
            </w:r>
            <w:r>
              <w:rPr>
                <w:rFonts w:hint="eastAsia"/>
                <w:color w:val="000000"/>
                <w:spacing w:val="-4"/>
                <w:sz w:val="21"/>
                <w:szCs w:val="21"/>
              </w:rPr>
              <w:t>明码标价和禁止价格欺诈规定</w:t>
            </w:r>
            <w:r>
              <w:rPr>
                <w:rFonts w:hint="eastAsia"/>
                <w:color w:val="000000"/>
                <w:spacing w:val="-4"/>
                <w:szCs w:val="21"/>
              </w:rPr>
              <w:t>》</w:t>
            </w:r>
            <w:r>
              <w:rPr>
                <w:rFonts w:hint="eastAsia"/>
                <w:color w:val="000000"/>
                <w:spacing w:val="-4"/>
                <w:sz w:val="21"/>
                <w:szCs w:val="21"/>
              </w:rPr>
              <w:t xml:space="preserve">第七条  </w:t>
            </w:r>
            <w:r>
              <w:rPr>
                <w:color w:val="000000"/>
                <w:spacing w:val="-4"/>
                <w:sz w:val="21"/>
                <w:szCs w:val="21"/>
              </w:rPr>
              <w:t> </w:t>
            </w:r>
            <w:r>
              <w:rPr>
                <w:rFonts w:hint="eastAsia"/>
                <w:color w:val="000000"/>
                <w:spacing w:val="-4"/>
                <w:sz w:val="21"/>
                <w:szCs w:val="21"/>
              </w:rPr>
              <w:t>经营者销售商品应当标示商品的品名、价格和计价单位。同一品牌或者种类的商品，因颜色、形状、规格、产地、等级等特征不同而实行不同价格的，经营者应当针对不同的价格分别标示品名，以示区别。</w:t>
            </w:r>
          </w:p>
          <w:p w14:paraId="78717DC9">
            <w:pPr>
              <w:widowControl/>
              <w:shd w:val="clear" w:color="auto" w:fill="FFFFFF"/>
              <w:jc w:val="left"/>
              <w:rPr>
                <w:rFonts w:hint="eastAsia"/>
                <w:color w:val="000000"/>
                <w:spacing w:val="-4"/>
                <w:kern w:val="0"/>
                <w:szCs w:val="21"/>
              </w:rPr>
            </w:pPr>
            <w:r>
              <w:rPr>
                <w:rFonts w:hint="eastAsia"/>
                <w:color w:val="000000"/>
                <w:spacing w:val="-4"/>
                <w:kern w:val="0"/>
                <w:szCs w:val="21"/>
              </w:rPr>
              <w:t>《明码标价和禁止价格欺诈规定》第二十二条</w:t>
            </w:r>
            <w:r>
              <w:rPr>
                <w:color w:val="000000"/>
                <w:spacing w:val="-4"/>
                <w:kern w:val="0"/>
                <w:szCs w:val="21"/>
              </w:rPr>
              <w:t> </w:t>
            </w:r>
            <w:r>
              <w:rPr>
                <w:rFonts w:hint="eastAsia"/>
                <w:color w:val="000000"/>
                <w:spacing w:val="-4"/>
                <w:kern w:val="0"/>
                <w:szCs w:val="21"/>
              </w:rPr>
              <w:t xml:space="preserve">  经营者违反本规定有关明码标价规定的，由县级以上市场监督管理部门依照《中华人民共和国价格法》《价格违法行为行政处罚规定》有关规定进行处罚。</w:t>
            </w:r>
          </w:p>
          <w:p w14:paraId="3D81449A">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《价格法》第四十二条  经营者违反明码标价规定的，责令改正，没收违法所得，可以并处五千元以下的罚款。</w:t>
            </w:r>
          </w:p>
        </w:tc>
        <w:tc>
          <w:tcPr>
            <w:tcW w:w="2017" w:type="dxa"/>
            <w:shd w:val="clear" w:color="auto" w:fill="auto"/>
            <w:noWrap w:val="0"/>
            <w:vAlign w:val="center"/>
          </w:tcPr>
          <w:p w14:paraId="727AE6CB">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5EA38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06" w:hRule="atLeast"/>
        </w:trPr>
        <w:tc>
          <w:tcPr>
            <w:tcW w:w="432" w:type="dxa"/>
            <w:noWrap w:val="0"/>
            <w:vAlign w:val="center"/>
          </w:tcPr>
          <w:p w14:paraId="6AE447F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52</w:t>
            </w:r>
          </w:p>
        </w:tc>
        <w:tc>
          <w:tcPr>
            <w:tcW w:w="3112" w:type="dxa"/>
            <w:shd w:val="clear" w:color="auto" w:fill="auto"/>
            <w:noWrap w:val="0"/>
            <w:vAlign w:val="center"/>
          </w:tcPr>
          <w:p w14:paraId="30C85F58">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违反《明码标价和禁止价格欺诈规定》第十六条之规定，经营者未标明被比较价格的详细信息的</w:t>
            </w:r>
          </w:p>
        </w:tc>
        <w:tc>
          <w:tcPr>
            <w:tcW w:w="2693" w:type="dxa"/>
            <w:shd w:val="clear" w:color="auto" w:fill="auto"/>
            <w:noWrap w:val="0"/>
            <w:vAlign w:val="center"/>
          </w:tcPr>
          <w:p w14:paraId="39FAC9B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同时具备以下条件可不予处罚：1.初次违法；2。被比较价格有真实依据；3.及时改正；4.没有造成危害后果</w:t>
            </w:r>
          </w:p>
        </w:tc>
        <w:tc>
          <w:tcPr>
            <w:tcW w:w="5812" w:type="dxa"/>
            <w:shd w:val="clear" w:color="auto" w:fill="auto"/>
            <w:noWrap w:val="0"/>
            <w:vAlign w:val="center"/>
          </w:tcPr>
          <w:p w14:paraId="6629A1CC">
            <w:pPr>
              <w:tabs>
                <w:tab w:val="left" w:pos="821"/>
              </w:tabs>
              <w:overflowPunct w:val="0"/>
              <w:adjustRightInd w:val="0"/>
              <w:snapToGrid w:val="0"/>
              <w:rPr>
                <w:color w:val="000000"/>
                <w:spacing w:val="-4"/>
                <w:kern w:val="0"/>
                <w:szCs w:val="21"/>
              </w:rPr>
            </w:pPr>
            <w:r>
              <w:rPr>
                <w:rFonts w:hint="eastAsia"/>
                <w:color w:val="000000"/>
                <w:spacing w:val="-4"/>
                <w:kern w:val="0"/>
                <w:szCs w:val="21"/>
              </w:rPr>
              <w:t>《明码标价和禁止价格欺诈规定》</w:t>
            </w:r>
            <w:r>
              <w:rPr>
                <w:color w:val="000000"/>
                <w:spacing w:val="-4"/>
                <w:kern w:val="0"/>
                <w:szCs w:val="21"/>
              </w:rPr>
              <w:t>第十六条</w:t>
            </w:r>
            <w:r>
              <w:rPr>
                <w:rFonts w:hint="eastAsia"/>
                <w:color w:val="000000"/>
                <w:spacing w:val="-4"/>
                <w:kern w:val="0"/>
                <w:szCs w:val="21"/>
              </w:rPr>
              <w:t xml:space="preserve"> </w:t>
            </w:r>
            <w:r>
              <w:rPr>
                <w:color w:val="000000"/>
                <w:spacing w:val="-4"/>
                <w:kern w:val="0"/>
                <w:szCs w:val="21"/>
              </w:rPr>
              <w:t xml:space="preserve"> 经营者在销售商品或提供服务时进行价格比较的，标明的被比较价格信息应当真实准确。</w:t>
            </w:r>
          </w:p>
          <w:p w14:paraId="665B833A">
            <w:pPr>
              <w:tabs>
                <w:tab w:val="left" w:pos="821"/>
              </w:tabs>
              <w:overflowPunct w:val="0"/>
              <w:adjustRightInd w:val="0"/>
              <w:snapToGrid w:val="0"/>
              <w:rPr>
                <w:color w:val="000000"/>
                <w:spacing w:val="-4"/>
                <w:kern w:val="0"/>
                <w:szCs w:val="21"/>
              </w:rPr>
            </w:pPr>
            <w:r>
              <w:rPr>
                <w:color w:val="000000"/>
                <w:spacing w:val="-4"/>
                <w:kern w:val="0"/>
                <w:szCs w:val="21"/>
              </w:rPr>
              <w:t>经营者未标明被比较价格的详细信息的，被比较价格应当不高于该经营者在同一经营场所进行价格比较前七日内的最低成交价格；前七日内没有交易的，应当不高于本次价格比较前最后一次交易价格。</w:t>
            </w:r>
          </w:p>
          <w:p w14:paraId="0CA79D7F">
            <w:pPr>
              <w:tabs>
                <w:tab w:val="left" w:pos="821"/>
              </w:tabs>
              <w:overflowPunct w:val="0"/>
              <w:adjustRightInd w:val="0"/>
              <w:snapToGrid w:val="0"/>
              <w:rPr>
                <w:color w:val="000000"/>
                <w:spacing w:val="-4"/>
                <w:kern w:val="0"/>
                <w:szCs w:val="21"/>
              </w:rPr>
            </w:pPr>
            <w:r>
              <w:rPr>
                <w:color w:val="000000"/>
                <w:spacing w:val="-4"/>
                <w:kern w:val="0"/>
                <w:szCs w:val="21"/>
              </w:rPr>
              <w:t>与厂商建议零售价进行价格比较的，应当明确标示被比较价格为厂商建议零售价。厂商建议零售价发生变动时，应当立即更新。</w:t>
            </w:r>
          </w:p>
          <w:p w14:paraId="58FF0BD4">
            <w:pPr>
              <w:tabs>
                <w:tab w:val="left" w:pos="821"/>
              </w:tabs>
              <w:overflowPunct w:val="0"/>
              <w:adjustRightInd w:val="0"/>
              <w:snapToGrid w:val="0"/>
              <w:rPr>
                <w:color w:val="000000"/>
                <w:spacing w:val="-4"/>
                <w:kern w:val="0"/>
                <w:szCs w:val="21"/>
              </w:rPr>
            </w:pPr>
            <w:r>
              <w:rPr>
                <w:rFonts w:hint="eastAsia"/>
                <w:color w:val="000000"/>
                <w:spacing w:val="-4"/>
                <w:kern w:val="0"/>
                <w:szCs w:val="21"/>
              </w:rPr>
              <w:t>《明码标价和禁止价格欺诈规定》第二十三条  经营者违反本规定第十六条至第二十条规定的，由县级以上市场监督管理部门依照《中华人民共和国价格法》、《中华人民共和国反不正当竞争法》、《中华人民共和国电子商务法》、《价格违法行为行政处罚规定》等法律、行政法规进行处罚。</w:t>
            </w:r>
          </w:p>
          <w:p w14:paraId="58CE542C">
            <w:pPr>
              <w:tabs>
                <w:tab w:val="left" w:pos="821"/>
              </w:tabs>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《价格法》第四十条  经营者有本法第十四条所列行为之一的，责令改正，没收违法所得，可以并处违法所得五倍以下的罚款；没有违法所得的，予以警告，可以并处罚款；情节严重的，责令停业整顿，或者由工商行政管理机关吊销营业执照。有关法律对本法第十四条所列行为的处罚及处罚机关另有规定的，可以依照有关法律的规定执行。</w:t>
            </w:r>
          </w:p>
        </w:tc>
        <w:tc>
          <w:tcPr>
            <w:tcW w:w="2017" w:type="dxa"/>
            <w:shd w:val="clear" w:color="auto" w:fill="auto"/>
            <w:noWrap w:val="0"/>
            <w:vAlign w:val="center"/>
          </w:tcPr>
          <w:p w14:paraId="5D98B69B">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108D6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7" w:hRule="atLeast"/>
        </w:trPr>
        <w:tc>
          <w:tcPr>
            <w:tcW w:w="432" w:type="dxa"/>
            <w:noWrap w:val="0"/>
            <w:vAlign w:val="center"/>
          </w:tcPr>
          <w:p w14:paraId="14ACDCB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53</w:t>
            </w:r>
          </w:p>
        </w:tc>
        <w:tc>
          <w:tcPr>
            <w:tcW w:w="3112" w:type="dxa"/>
            <w:shd w:val="clear" w:color="auto" w:fill="auto"/>
            <w:noWrap w:val="0"/>
            <w:vAlign w:val="center"/>
          </w:tcPr>
          <w:p w14:paraId="47C0385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提供服务的经营者公布服务项目、服务内容、等级或规格、服务价格等内容的位置不够醒目</w:t>
            </w:r>
          </w:p>
        </w:tc>
        <w:tc>
          <w:tcPr>
            <w:tcW w:w="2693" w:type="dxa"/>
            <w:shd w:val="clear" w:color="auto" w:fill="auto"/>
            <w:noWrap w:val="0"/>
            <w:vAlign w:val="center"/>
          </w:tcPr>
          <w:p w14:paraId="116192FD">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1C2810C3">
            <w:pPr>
              <w:overflowPunct w:val="0"/>
              <w:adjustRightInd w:val="0"/>
              <w:snapToGrid w:val="0"/>
              <w:rPr>
                <w:rFonts w:hint="eastAsia"/>
                <w:color w:val="000000"/>
                <w:spacing w:val="-4"/>
                <w:kern w:val="0"/>
                <w:szCs w:val="21"/>
              </w:rPr>
            </w:pPr>
            <w:r>
              <w:rPr>
                <w:rFonts w:hint="eastAsia"/>
                <w:color w:val="000000"/>
                <w:spacing w:val="-4"/>
                <w:kern w:val="0"/>
                <w:szCs w:val="21"/>
              </w:rPr>
              <w:t>1.首次实施此类违法行为；2.及时纠正；</w:t>
            </w:r>
          </w:p>
          <w:p w14:paraId="70039784">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60BECD2E">
            <w:pPr>
              <w:overflowPunct w:val="0"/>
              <w:adjustRightInd w:val="0"/>
              <w:snapToGrid w:val="0"/>
              <w:rPr>
                <w:rFonts w:hint="eastAsia"/>
                <w:color w:val="000000"/>
                <w:spacing w:val="-4"/>
                <w:kern w:val="0"/>
                <w:szCs w:val="21"/>
              </w:rPr>
            </w:pPr>
            <w:r>
              <w:rPr>
                <w:rFonts w:hint="eastAsia"/>
                <w:color w:val="000000"/>
                <w:spacing w:val="-4"/>
                <w:kern w:val="0"/>
                <w:szCs w:val="21"/>
              </w:rPr>
              <w:t>《价格法》第十三条第一款  经营者销售、收购商品和提供服务，应当按照政府价格主管部门的规定明码标价，注明商品的品名、产地、规格、等级、计价单位、价格或者服务的项目、收费标准等有关情况。</w:t>
            </w:r>
          </w:p>
          <w:p w14:paraId="429CA9D2">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《价格法》第四十二条  经营者违反明码标价规定的，责令改正，没收违法所得，可以并处五千元以下的罚款。</w:t>
            </w:r>
          </w:p>
        </w:tc>
        <w:tc>
          <w:tcPr>
            <w:tcW w:w="2017" w:type="dxa"/>
            <w:shd w:val="clear" w:color="auto" w:fill="auto"/>
            <w:noWrap w:val="0"/>
            <w:vAlign w:val="center"/>
          </w:tcPr>
          <w:p w14:paraId="310A0FA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08E6EA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648" w:hRule="atLeast"/>
        </w:trPr>
        <w:tc>
          <w:tcPr>
            <w:tcW w:w="432" w:type="dxa"/>
            <w:noWrap w:val="0"/>
            <w:vAlign w:val="center"/>
          </w:tcPr>
          <w:p w14:paraId="3DF0873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54</w:t>
            </w:r>
          </w:p>
        </w:tc>
        <w:tc>
          <w:tcPr>
            <w:tcW w:w="3112" w:type="dxa"/>
            <w:shd w:val="clear" w:color="auto" w:fill="auto"/>
            <w:noWrap w:val="0"/>
            <w:vAlign w:val="center"/>
          </w:tcPr>
          <w:p w14:paraId="522F6238">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未按有利于消费者方式计算而在标价之外加价出售商品</w:t>
            </w:r>
          </w:p>
        </w:tc>
        <w:tc>
          <w:tcPr>
            <w:tcW w:w="2693" w:type="dxa"/>
            <w:shd w:val="clear" w:color="auto" w:fill="auto"/>
            <w:noWrap w:val="0"/>
            <w:vAlign w:val="center"/>
          </w:tcPr>
          <w:p w14:paraId="06708DE7">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302DB34A">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1.首次实施此类违法行为；2.及时纠正；</w:t>
            </w:r>
          </w:p>
          <w:p w14:paraId="418422F2">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3.结算时按四舍五入计算而非有利于消费者的方式计算。</w:t>
            </w:r>
          </w:p>
        </w:tc>
        <w:tc>
          <w:tcPr>
            <w:tcW w:w="5812" w:type="dxa"/>
            <w:shd w:val="clear" w:color="auto" w:fill="auto"/>
            <w:noWrap w:val="0"/>
            <w:vAlign w:val="center"/>
          </w:tcPr>
          <w:p w14:paraId="74DDAEED">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《价格法》第十三条  经营者不得在标价之外加价出售商品，不得收取任何未予标明的费用。</w:t>
            </w:r>
          </w:p>
          <w:p w14:paraId="566E4DAF">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《价格法》第四十二条  经营者违反明码标价规定的，责令改正，没收违法所得，可以并处五千元以下的罚款。</w:t>
            </w:r>
          </w:p>
          <w:p w14:paraId="2022EC8E">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ascii="宋体" w:hAnsi="宋体" w:cs="宋体"/>
                <w:color w:val="000000"/>
                <w:szCs w:val="21"/>
                <w:shd w:val="clear" w:color="auto" w:fill="FFFFFF"/>
              </w:rPr>
              <w:t>《价格违法行为行政处罚规定》</w:t>
            </w:r>
            <w:r>
              <w:rPr>
                <w:rFonts w:hint="eastAsia"/>
                <w:color w:val="000000"/>
                <w:spacing w:val="-4"/>
                <w:kern w:val="0"/>
                <w:szCs w:val="21"/>
              </w:rPr>
              <w:t>第十三条　</w:t>
            </w:r>
            <w:r>
              <w:rPr>
                <w:rFonts w:hint="eastAsia" w:ascii="宋体" w:hAnsi="宋体" w:cs="宋体"/>
                <w:color w:val="000000"/>
                <w:szCs w:val="21"/>
                <w:shd w:val="clear" w:color="auto" w:fill="FFFFFF"/>
              </w:rPr>
              <w:t>经营者违反明码标价规定，有下列行为之一的，责令改正，没收违法所得，可以并处</w:t>
            </w:r>
            <w:r>
              <w:rPr>
                <w:rFonts w:ascii="Helvetica" w:hAnsi="Helvetica" w:eastAsia="Helvetica" w:cs="Helvetica"/>
                <w:color w:val="000000"/>
                <w:szCs w:val="21"/>
                <w:shd w:val="clear" w:color="auto" w:fill="FFFFFF"/>
              </w:rPr>
              <w:t>5000</w:t>
            </w:r>
            <w:r>
              <w:rPr>
                <w:rFonts w:hint="eastAsia" w:ascii="宋体" w:hAnsi="宋体" w:cs="宋体"/>
                <w:color w:val="000000"/>
                <w:szCs w:val="21"/>
                <w:shd w:val="clear" w:color="auto" w:fill="FFFFFF"/>
              </w:rPr>
              <w:t>元以下的罚款：</w:t>
            </w:r>
            <w:r>
              <w:rPr>
                <w:rFonts w:hint="eastAsia" w:ascii="Helvetica" w:hAnsi="Helvetica" w:cs="Helvetica"/>
                <w:color w:val="000000"/>
                <w:szCs w:val="21"/>
                <w:shd w:val="clear" w:color="auto" w:fill="FFFFFF"/>
              </w:rPr>
              <w:t>（</w:t>
            </w:r>
            <w:r>
              <w:rPr>
                <w:rFonts w:hint="eastAsia" w:ascii="宋体" w:hAnsi="宋体" w:cs="宋体"/>
                <w:color w:val="000000"/>
                <w:szCs w:val="21"/>
                <w:shd w:val="clear" w:color="auto" w:fill="FFFFFF"/>
              </w:rPr>
              <w:t>三）在标价之外加价出售商品或者收取未标明的费用的；</w:t>
            </w:r>
          </w:p>
        </w:tc>
        <w:tc>
          <w:tcPr>
            <w:tcW w:w="2017" w:type="dxa"/>
            <w:shd w:val="clear" w:color="auto" w:fill="auto"/>
            <w:noWrap w:val="0"/>
            <w:vAlign w:val="center"/>
          </w:tcPr>
          <w:p w14:paraId="252C601F">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9DAE9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45" w:hRule="atLeast"/>
        </w:trPr>
        <w:tc>
          <w:tcPr>
            <w:tcW w:w="432" w:type="dxa"/>
            <w:noWrap w:val="0"/>
            <w:vAlign w:val="center"/>
          </w:tcPr>
          <w:p w14:paraId="560BEB6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55</w:t>
            </w:r>
          </w:p>
        </w:tc>
        <w:tc>
          <w:tcPr>
            <w:tcW w:w="3112" w:type="dxa"/>
            <w:shd w:val="clear" w:color="auto" w:fill="auto"/>
            <w:noWrap w:val="0"/>
            <w:vAlign w:val="center"/>
          </w:tcPr>
          <w:p w14:paraId="46B7F169">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特种设备安装、改造、修理竣工验收后未及时将相关技术资料和文件移交特种设备使用单位</w:t>
            </w:r>
          </w:p>
        </w:tc>
        <w:tc>
          <w:tcPr>
            <w:tcW w:w="2693" w:type="dxa"/>
            <w:shd w:val="clear" w:color="auto" w:fill="auto"/>
            <w:noWrap w:val="0"/>
            <w:vAlign w:val="center"/>
          </w:tcPr>
          <w:p w14:paraId="5250347F">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4DD98DFC">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1.责令限期改正后及时改正；</w:t>
            </w:r>
          </w:p>
          <w:p w14:paraId="716FCF86">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2.没有造成危害后果。</w:t>
            </w:r>
          </w:p>
        </w:tc>
        <w:tc>
          <w:tcPr>
            <w:tcW w:w="5812" w:type="dxa"/>
            <w:shd w:val="clear" w:color="auto" w:fill="auto"/>
            <w:noWrap w:val="0"/>
            <w:vAlign w:val="center"/>
          </w:tcPr>
          <w:p w14:paraId="3E78E4B6">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《中华人民共和国特种设备安全法》第二十三条  特种设备安装、改造、修理的施工单位应当在施工前将拟进行的特种设备安装、改造、修理情况书面告知直辖市或者设区的市级人民政府负责特种设备安全监督管理的部门。</w:t>
            </w:r>
          </w:p>
          <w:p w14:paraId="79482B16">
            <w:pPr>
              <w:overflowPunct w:val="0"/>
              <w:adjustRightInd w:val="0"/>
              <w:snapToGrid w:val="0"/>
              <w:textAlignment w:val="center"/>
              <w:rPr>
                <w:color w:val="000000"/>
                <w:spacing w:val="-4"/>
                <w:kern w:val="0"/>
                <w:szCs w:val="21"/>
              </w:rPr>
            </w:pPr>
            <w:r>
              <w:rPr>
                <w:rFonts w:hint="eastAsia"/>
                <w:color w:val="000000"/>
                <w:spacing w:val="-4"/>
                <w:kern w:val="0"/>
                <w:szCs w:val="21"/>
              </w:rPr>
              <w:t>《中华人民共和国特种设备安全法》第二十四条  特种设备安装、改造、修理竣工后，安装、改造、修理的施工单位应当在验收后三十日内将相关技术资料和文件移交特种设备使用单位。特种设备使用单位应当将其存入该特种设备的安全技术档案。</w:t>
            </w:r>
          </w:p>
          <w:p w14:paraId="1BD8B48F">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《中华人民共和国特种设备安全法》第七十八条 违反本法规定，特种设备安装、改造、修理的施工单位在施工前未书面告知负责特种设备安全监督管理的部门即行施工的，或者在验收后三十日内未将相关技术资料和文件移交特种设备使用单位的，责令限期改正；逾期未改正的，处一万元以上十万元以下罚款。</w:t>
            </w:r>
          </w:p>
        </w:tc>
        <w:tc>
          <w:tcPr>
            <w:tcW w:w="2017" w:type="dxa"/>
            <w:shd w:val="clear" w:color="auto" w:fill="auto"/>
            <w:noWrap w:val="0"/>
            <w:vAlign w:val="center"/>
          </w:tcPr>
          <w:p w14:paraId="0A57C96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5FDEC0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noWrap w:val="0"/>
            <w:vAlign w:val="center"/>
          </w:tcPr>
          <w:p w14:paraId="57C49FD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56</w:t>
            </w:r>
          </w:p>
        </w:tc>
        <w:tc>
          <w:tcPr>
            <w:tcW w:w="3112" w:type="dxa"/>
            <w:shd w:val="clear" w:color="auto" w:fill="auto"/>
            <w:noWrap w:val="0"/>
            <w:vAlign w:val="center"/>
          </w:tcPr>
          <w:p w14:paraId="1D91359D">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特种设备使用单位未及时办理使用登记</w:t>
            </w:r>
          </w:p>
        </w:tc>
        <w:tc>
          <w:tcPr>
            <w:tcW w:w="2693" w:type="dxa"/>
            <w:shd w:val="clear" w:color="auto" w:fill="auto"/>
            <w:noWrap w:val="0"/>
            <w:vAlign w:val="center"/>
          </w:tcPr>
          <w:p w14:paraId="64BF4F27">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6A14EDC0">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1.责令限期改正后及时改正；</w:t>
            </w:r>
          </w:p>
          <w:p w14:paraId="1B3C2783">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2.没有造成危害后果。</w:t>
            </w:r>
          </w:p>
        </w:tc>
        <w:tc>
          <w:tcPr>
            <w:tcW w:w="5812" w:type="dxa"/>
            <w:shd w:val="clear" w:color="auto" w:fill="auto"/>
            <w:noWrap w:val="0"/>
            <w:vAlign w:val="center"/>
          </w:tcPr>
          <w:p w14:paraId="31F2C8D5">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《中华人民共和国特种设备安全法》第三十三条 特种设备使用单位应当在特种设备投入使用前或者投入使用后三十日内，向负责特种设备安全监督管理的部门办理使用登记，取得使用登记证书。登记标志应当置于该特种设备的显著位置。</w:t>
            </w:r>
          </w:p>
          <w:p w14:paraId="16987762">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《中华人民共和国特种设备安全法》第八十三条 违反本法规定，特种设备使用单位有下列行为之一的，责令限期改正；逾期未改正的，责令停止使用有关特种设备，处一万元以上十万元以下罚款：（一）使用特种设备未按照规定办理使用登记的；</w:t>
            </w:r>
          </w:p>
        </w:tc>
        <w:tc>
          <w:tcPr>
            <w:tcW w:w="2017" w:type="dxa"/>
            <w:shd w:val="clear" w:color="auto" w:fill="auto"/>
            <w:noWrap w:val="0"/>
            <w:vAlign w:val="center"/>
          </w:tcPr>
          <w:p w14:paraId="32026B58">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07CDF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noWrap w:val="0"/>
            <w:vAlign w:val="center"/>
          </w:tcPr>
          <w:p w14:paraId="0630F86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57</w:t>
            </w:r>
          </w:p>
        </w:tc>
        <w:tc>
          <w:tcPr>
            <w:tcW w:w="3112" w:type="dxa"/>
            <w:shd w:val="clear" w:color="auto" w:fill="auto"/>
            <w:noWrap w:val="0"/>
            <w:vAlign w:val="center"/>
          </w:tcPr>
          <w:p w14:paraId="72F9D4B9">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使用未经定期检验的特种设备</w:t>
            </w:r>
          </w:p>
        </w:tc>
        <w:tc>
          <w:tcPr>
            <w:tcW w:w="2693" w:type="dxa"/>
            <w:shd w:val="clear" w:color="auto" w:fill="auto"/>
            <w:noWrap w:val="0"/>
            <w:vAlign w:val="center"/>
          </w:tcPr>
          <w:p w14:paraId="0523D110">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58A47CDF">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1.首次实施此类违法行为；2.在检验有效期届满前已向检验机构申请检验，在有效期届满后、检验机构出具检验合格报告前，因生产工艺的连续或公众生活所需、采取必要的安全保障措施后继续使用不超过15日；</w:t>
            </w:r>
          </w:p>
          <w:p w14:paraId="0CCA402A">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3.没有造成危害后果。</w:t>
            </w:r>
          </w:p>
        </w:tc>
        <w:tc>
          <w:tcPr>
            <w:tcW w:w="5812" w:type="dxa"/>
            <w:shd w:val="clear" w:color="auto" w:fill="auto"/>
            <w:noWrap w:val="0"/>
            <w:vAlign w:val="center"/>
          </w:tcPr>
          <w:p w14:paraId="1E4C408B">
            <w:pPr>
              <w:shd w:val="clear" w:color="auto" w:fill="FFFFFF"/>
              <w:overflowPunct w:val="0"/>
              <w:adjustRightInd w:val="0"/>
              <w:snapToGrid w:val="0"/>
              <w:rPr>
                <w:rFonts w:hint="eastAsia"/>
                <w:color w:val="000000"/>
                <w:spacing w:val="-4"/>
                <w:kern w:val="0"/>
                <w:szCs w:val="21"/>
              </w:rPr>
            </w:pPr>
            <w:r>
              <w:rPr>
                <w:rFonts w:hint="eastAsia"/>
                <w:color w:val="000000"/>
                <w:spacing w:val="-4"/>
                <w:kern w:val="0"/>
                <w:szCs w:val="21"/>
              </w:rPr>
              <w:t>《中华人民共和国特种设备安全法》第四十条 特种设备使用单位应当按照安全技术规范的要求，在检验合格有效期届满前一个月向特种设备检验机构提出定期检验要求。</w:t>
            </w:r>
          </w:p>
          <w:p w14:paraId="1561E61E">
            <w:pPr>
              <w:shd w:val="clear" w:color="auto" w:fill="FFFFFF"/>
              <w:overflowPunct w:val="0"/>
              <w:adjustRightInd w:val="0"/>
              <w:snapToGrid w:val="0"/>
              <w:jc w:val="left"/>
              <w:rPr>
                <w:rFonts w:hint="eastAsia"/>
                <w:color w:val="000000"/>
                <w:spacing w:val="-4"/>
                <w:kern w:val="0"/>
                <w:szCs w:val="21"/>
              </w:rPr>
            </w:pPr>
            <w:r>
              <w:rPr>
                <w:rFonts w:hint="eastAsia"/>
                <w:color w:val="000000"/>
                <w:spacing w:val="-4"/>
                <w:kern w:val="0"/>
                <w:szCs w:val="21"/>
              </w:rPr>
              <w:t>特种设备检验机构接到定期检验要求后，应当按照安全技术规范的要求及时进行安全性能检验。特种设备使用单位应当将定期检验标志置于该特种设备的显著位置。</w:t>
            </w:r>
          </w:p>
          <w:p w14:paraId="7C57A903">
            <w:pPr>
              <w:shd w:val="clear" w:color="auto" w:fill="FFFFFF"/>
              <w:overflowPunct w:val="0"/>
              <w:adjustRightInd w:val="0"/>
              <w:snapToGrid w:val="0"/>
              <w:jc w:val="left"/>
              <w:rPr>
                <w:rFonts w:hint="eastAsia"/>
                <w:color w:val="000000"/>
                <w:spacing w:val="-4"/>
                <w:kern w:val="0"/>
                <w:szCs w:val="21"/>
              </w:rPr>
            </w:pPr>
            <w:r>
              <w:rPr>
                <w:rFonts w:hint="eastAsia"/>
                <w:color w:val="000000"/>
                <w:spacing w:val="-4"/>
                <w:kern w:val="0"/>
                <w:szCs w:val="21"/>
              </w:rPr>
              <w:t>未经定期检验或者检验不合格的特种设备，不得继续使用。</w:t>
            </w:r>
          </w:p>
          <w:p w14:paraId="49AEA1C7">
            <w:pPr>
              <w:shd w:val="clear" w:color="auto" w:fill="FFFFFF"/>
              <w:overflowPunct w:val="0"/>
              <w:adjustRightInd w:val="0"/>
              <w:snapToGrid w:val="0"/>
              <w:jc w:val="left"/>
              <w:rPr>
                <w:rFonts w:hint="eastAsia"/>
                <w:color w:val="000000"/>
                <w:spacing w:val="-4"/>
                <w:kern w:val="0"/>
                <w:szCs w:val="21"/>
              </w:rPr>
            </w:pPr>
            <w:r>
              <w:rPr>
                <w:rFonts w:hint="eastAsia"/>
                <w:color w:val="000000"/>
                <w:spacing w:val="-4"/>
                <w:kern w:val="0"/>
                <w:szCs w:val="21"/>
              </w:rPr>
              <w:t>《中华人民共和国特种设备安全法》第八十四条 违反本法规定，特种设备使用单位有下列行为之一的，责令停止使用有关特种设备，处三万元以上三十万元以下罚款：</w:t>
            </w:r>
          </w:p>
          <w:p w14:paraId="09A41171">
            <w:pPr>
              <w:shd w:val="clear" w:color="auto" w:fill="FFFFFF"/>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（一）使用未取得许可生产，未经检验或者检验不合格的特种设备，或者国家明令淘汰、已经报废的特种设备的；</w:t>
            </w:r>
          </w:p>
        </w:tc>
        <w:tc>
          <w:tcPr>
            <w:tcW w:w="2017" w:type="dxa"/>
            <w:shd w:val="clear" w:color="auto" w:fill="auto"/>
            <w:noWrap w:val="0"/>
            <w:vAlign w:val="center"/>
          </w:tcPr>
          <w:p w14:paraId="4D240EF5">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1C762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noWrap w:val="0"/>
            <w:vAlign w:val="center"/>
          </w:tcPr>
          <w:p w14:paraId="71EEA49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58</w:t>
            </w:r>
          </w:p>
        </w:tc>
        <w:tc>
          <w:tcPr>
            <w:tcW w:w="3112" w:type="dxa"/>
            <w:shd w:val="clear" w:color="auto" w:fill="auto"/>
            <w:noWrap w:val="0"/>
            <w:vAlign w:val="center"/>
          </w:tcPr>
          <w:p w14:paraId="583CF2B7">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特种设备销售单位销售相关技术资料和文件不齐全的特种设备</w:t>
            </w:r>
          </w:p>
        </w:tc>
        <w:tc>
          <w:tcPr>
            <w:tcW w:w="2693" w:type="dxa"/>
            <w:shd w:val="clear" w:color="auto" w:fill="auto"/>
            <w:noWrap w:val="0"/>
            <w:vAlign w:val="center"/>
          </w:tcPr>
          <w:p w14:paraId="50A06203">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11864CB3">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1.责令限期改正后及时改正；</w:t>
            </w:r>
          </w:p>
          <w:p w14:paraId="506586F3">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2.没有造成危害后果。</w:t>
            </w:r>
          </w:p>
        </w:tc>
        <w:tc>
          <w:tcPr>
            <w:tcW w:w="5812" w:type="dxa"/>
            <w:shd w:val="clear" w:color="auto" w:fill="auto"/>
            <w:noWrap w:val="0"/>
            <w:vAlign w:val="center"/>
          </w:tcPr>
          <w:p w14:paraId="001C07F3">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《江苏省特种设备安全条例》第九条　特种设备销售单位应当建立并执行特种设备进货检查验收和销售台账制度，验明特种设备制造许可证、设计文件、产品质量合格证明、安装及使用维护保养说明、监督检验证明等相关技术资料和文件，对其所销售产品的合法性负责，不得销售相关技术资料和文件不齐全的特种设备以及国家明令淘汰、已经报废的特种设备。第四十条违反本条例第九条规定，特种设备销售单位销售相关技术资料和文件不齐全的特种设备的，由特种设备安全监督管理部门责令停止销售，限期改正；逾期未改正的，处二万元以上二十万元以下罚款；有违法所得的，没收违法所得。</w:t>
            </w:r>
          </w:p>
        </w:tc>
        <w:tc>
          <w:tcPr>
            <w:tcW w:w="2017" w:type="dxa"/>
            <w:shd w:val="clear" w:color="auto" w:fill="auto"/>
            <w:noWrap w:val="0"/>
            <w:vAlign w:val="center"/>
          </w:tcPr>
          <w:p w14:paraId="23AB0CD1">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A8C33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494" w:hRule="atLeast"/>
        </w:trPr>
        <w:tc>
          <w:tcPr>
            <w:tcW w:w="432" w:type="dxa"/>
            <w:noWrap w:val="0"/>
            <w:vAlign w:val="center"/>
          </w:tcPr>
          <w:p w14:paraId="0DD46DF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59</w:t>
            </w:r>
          </w:p>
        </w:tc>
        <w:tc>
          <w:tcPr>
            <w:tcW w:w="3112" w:type="dxa"/>
            <w:shd w:val="clear" w:color="auto" w:fill="auto"/>
            <w:noWrap w:val="0"/>
            <w:vAlign w:val="center"/>
          </w:tcPr>
          <w:p w14:paraId="048EF988">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销售、转让使用过的特种设备，未提供原使用单位的特种设备使用登记注销证明、安全技术档案和监督检验或者定期检验合格证明或提供资料不全</w:t>
            </w:r>
          </w:p>
        </w:tc>
        <w:tc>
          <w:tcPr>
            <w:tcW w:w="2693" w:type="dxa"/>
            <w:shd w:val="clear" w:color="auto" w:fill="auto"/>
            <w:noWrap w:val="0"/>
            <w:vAlign w:val="center"/>
          </w:tcPr>
          <w:p w14:paraId="297AC96C">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549F1F1B">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1.责令限期改正后及时改正；</w:t>
            </w:r>
          </w:p>
          <w:p w14:paraId="397AC293">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2.没有造成危害后果。</w:t>
            </w:r>
          </w:p>
        </w:tc>
        <w:tc>
          <w:tcPr>
            <w:tcW w:w="5812" w:type="dxa"/>
            <w:shd w:val="clear" w:color="auto" w:fill="auto"/>
            <w:noWrap w:val="0"/>
            <w:vAlign w:val="center"/>
          </w:tcPr>
          <w:p w14:paraId="63F0CE59">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《江苏省特种设备安全条例》第十条　销售、转让使用过的特种设备的，应当向购买者或者受让者提供原使用单位的特种设备使用登记注销证明、安全技术档案和监督检验或者定期检验合格证明。</w:t>
            </w:r>
          </w:p>
          <w:p w14:paraId="7C295281">
            <w:pPr>
              <w:overflowPunct w:val="0"/>
              <w:adjustRightInd w:val="0"/>
              <w:snapToGrid w:val="0"/>
              <w:ind w:firstLine="404" w:firstLineChars="20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四十一条违反本条例第十条规定，销售、转让使用过的特种设备，未向购买者或者受让者提供原使用单位的特种设备使用登记注销证明、安全技术档案和监督检验或者定期检验合格证明的，由特种设备安全监督管理部门责令停止销售、转让，限期改正；逾期未改正的，处二万元以上二十万元以下罚款。</w:t>
            </w:r>
          </w:p>
        </w:tc>
        <w:tc>
          <w:tcPr>
            <w:tcW w:w="2017" w:type="dxa"/>
            <w:shd w:val="clear" w:color="auto" w:fill="auto"/>
            <w:noWrap w:val="0"/>
            <w:vAlign w:val="center"/>
          </w:tcPr>
          <w:p w14:paraId="37C77D18">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175F1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87" w:hRule="atLeast"/>
        </w:trPr>
        <w:tc>
          <w:tcPr>
            <w:tcW w:w="432" w:type="dxa"/>
            <w:noWrap w:val="0"/>
            <w:vAlign w:val="center"/>
          </w:tcPr>
          <w:p w14:paraId="331BB10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60</w:t>
            </w:r>
          </w:p>
        </w:tc>
        <w:tc>
          <w:tcPr>
            <w:tcW w:w="3112" w:type="dxa"/>
            <w:shd w:val="clear" w:color="auto" w:fill="auto"/>
            <w:noWrap w:val="0"/>
            <w:vAlign w:val="center"/>
          </w:tcPr>
          <w:p w14:paraId="3A2F27CF">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属于非强制性检定范围的计量器具未自行定期检定或者送其他计量检定机构定期检定</w:t>
            </w:r>
          </w:p>
        </w:tc>
        <w:tc>
          <w:tcPr>
            <w:tcW w:w="2693" w:type="dxa"/>
            <w:shd w:val="clear" w:color="auto" w:fill="auto"/>
            <w:noWrap w:val="0"/>
            <w:vAlign w:val="center"/>
          </w:tcPr>
          <w:p w14:paraId="3FC4976B">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65773BB1">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1.发现后主动送检；</w:t>
            </w:r>
          </w:p>
          <w:p w14:paraId="7101A95B">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2.实际使用的计量器具经检定合格。</w:t>
            </w:r>
          </w:p>
        </w:tc>
        <w:tc>
          <w:tcPr>
            <w:tcW w:w="5812" w:type="dxa"/>
            <w:shd w:val="clear" w:color="auto" w:fill="auto"/>
            <w:noWrap w:val="0"/>
            <w:vAlign w:val="center"/>
          </w:tcPr>
          <w:p w14:paraId="20F414B3">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《中华人民共和国计量法》第九条 县级以上人民政府计量行政部门对社会公用计量标准器具，部门和企业、事业单位使用的最高计量标准器具，以及用于贸易结算、安全防护、医疗卫生、环境监测方面的列入强制检定目录的工作计量器具，实行强制检定。未按照规定申请检定或者检定不合格的，不得使用。实行强制检定的工作计量器具的目录和管理办法，由国务院制定。</w:t>
            </w:r>
          </w:p>
          <w:p w14:paraId="14F1B367">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对前款规定以外的其他计量标准器具和工作计量器具，使用单位应当自行定期检定或者送其他计量检定机构检定。</w:t>
            </w:r>
          </w:p>
          <w:p w14:paraId="1E3245D3">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《中华人民共和国计量法实施细则》第四十三条 属于强制检定范围的计量器具，未按照规定申请检定和属于非强制检定范围的计量器具未自行定期检定或者送其他计量检定机构定期检定的，以及经检定不合格继续使用的，责令其停止使用，可并处1000元以下的罚款。</w:t>
            </w:r>
          </w:p>
        </w:tc>
        <w:tc>
          <w:tcPr>
            <w:tcW w:w="2017" w:type="dxa"/>
            <w:shd w:val="clear" w:color="auto" w:fill="auto"/>
            <w:noWrap w:val="0"/>
            <w:vAlign w:val="center"/>
          </w:tcPr>
          <w:p w14:paraId="4C46BFBD">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FC733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01" w:hRule="atLeast"/>
        </w:trPr>
        <w:tc>
          <w:tcPr>
            <w:tcW w:w="432" w:type="dxa"/>
            <w:noWrap w:val="0"/>
            <w:vAlign w:val="center"/>
          </w:tcPr>
          <w:p w14:paraId="1CD5B52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61</w:t>
            </w:r>
          </w:p>
        </w:tc>
        <w:tc>
          <w:tcPr>
            <w:tcW w:w="3112" w:type="dxa"/>
            <w:shd w:val="clear" w:color="auto" w:fill="auto"/>
            <w:noWrap w:val="0"/>
            <w:vAlign w:val="center"/>
          </w:tcPr>
          <w:p w14:paraId="305E2DB9">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使用非法定计量单位且属于出版物的</w:t>
            </w:r>
          </w:p>
        </w:tc>
        <w:tc>
          <w:tcPr>
            <w:tcW w:w="2693" w:type="dxa"/>
            <w:shd w:val="clear" w:color="auto" w:fill="auto"/>
            <w:noWrap w:val="0"/>
            <w:vAlign w:val="center"/>
          </w:tcPr>
          <w:p w14:paraId="5154BDD6">
            <w:pPr>
              <w:overflowPunct w:val="0"/>
              <w:adjustRightInd w:val="0"/>
              <w:snapToGrid w:val="0"/>
              <w:rPr>
                <w:rFonts w:hint="eastAsia"/>
                <w:color w:val="000000"/>
                <w:spacing w:val="-4"/>
                <w:kern w:val="0"/>
                <w:szCs w:val="21"/>
              </w:rPr>
            </w:pPr>
            <w:r>
              <w:rPr>
                <w:rFonts w:hint="eastAsia"/>
                <w:color w:val="000000"/>
                <w:spacing w:val="-4"/>
                <w:kern w:val="0"/>
                <w:szCs w:val="21"/>
              </w:rPr>
              <w:t>同时具备以下条件：</w:t>
            </w:r>
          </w:p>
          <w:p w14:paraId="5142139B">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1.及时改正；</w:t>
            </w:r>
          </w:p>
          <w:p w14:paraId="5FFC9F41">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2.没有造成危害后果。</w:t>
            </w:r>
          </w:p>
        </w:tc>
        <w:tc>
          <w:tcPr>
            <w:tcW w:w="5812" w:type="dxa"/>
            <w:shd w:val="clear" w:color="auto" w:fill="auto"/>
            <w:noWrap w:val="0"/>
            <w:vAlign w:val="center"/>
          </w:tcPr>
          <w:p w14:paraId="0FCBD86C">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《中华人民共和国计量法实施细则》第二条 国家实行法定计量单位制度。法定计量单位的名称、符号按照国务院关于在我国统一实行法定计量单位的有关规定执行。</w:t>
            </w:r>
          </w:p>
          <w:p w14:paraId="446A5200">
            <w:pPr>
              <w:overflowPunct w:val="0"/>
              <w:adjustRightInd w:val="0"/>
              <w:snapToGrid w:val="0"/>
              <w:ind w:firstLine="404" w:firstLineChars="20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第四十条 违反本细则第二条规定，使用非法定计量单位的，责令其改正；属出版物的，责令其停止销售，可并处1000元以下的罚款。</w:t>
            </w:r>
          </w:p>
        </w:tc>
        <w:tc>
          <w:tcPr>
            <w:tcW w:w="2017" w:type="dxa"/>
            <w:shd w:val="clear" w:color="auto" w:fill="auto"/>
            <w:noWrap w:val="0"/>
            <w:vAlign w:val="center"/>
          </w:tcPr>
          <w:p w14:paraId="20DEC271">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99E2B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01" w:hRule="atLeast"/>
        </w:trPr>
        <w:tc>
          <w:tcPr>
            <w:tcW w:w="432" w:type="dxa"/>
            <w:noWrap w:val="0"/>
            <w:vAlign w:val="center"/>
          </w:tcPr>
          <w:p w14:paraId="1A1B7F8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62</w:t>
            </w:r>
          </w:p>
        </w:tc>
        <w:tc>
          <w:tcPr>
            <w:tcW w:w="3112" w:type="dxa"/>
            <w:shd w:val="clear" w:color="auto" w:fill="auto"/>
            <w:noWrap w:val="0"/>
            <w:vAlign w:val="center"/>
          </w:tcPr>
          <w:p w14:paraId="43449EA5">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制造、修理计量器具的个体工商户未在规定场所从事经营活动</w:t>
            </w:r>
          </w:p>
        </w:tc>
        <w:tc>
          <w:tcPr>
            <w:tcW w:w="2693" w:type="dxa"/>
            <w:shd w:val="clear" w:color="auto" w:fill="auto"/>
            <w:noWrap w:val="0"/>
            <w:vAlign w:val="center"/>
          </w:tcPr>
          <w:p w14:paraId="0A96E127">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同时具备以下条件：</w:t>
            </w:r>
          </w:p>
          <w:p w14:paraId="4684DA20">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1.初次违法；</w:t>
            </w:r>
          </w:p>
          <w:p w14:paraId="78741C5C">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2.及时改正；</w:t>
            </w:r>
          </w:p>
          <w:p w14:paraId="2D550074">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49163B56">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《计量法实施细则》第十四条　制造、修理计量器具的企业、事业单位和个体工商户须在固定的场所从事经营，具有符合国家规定的生产设施、检验条件、技术人员等，并满足安全要求。</w:t>
            </w:r>
          </w:p>
          <w:p w14:paraId="51604DA8">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《计量法实施细则》第四十九条　个体工商户制造、修理国家规定范围以外的计量器具或者不按照规定场所从事经营活动的，责令其停止制造、修理，没收全部违法所得，可并处以500元以下的罚款。</w:t>
            </w:r>
          </w:p>
        </w:tc>
        <w:tc>
          <w:tcPr>
            <w:tcW w:w="2017" w:type="dxa"/>
            <w:shd w:val="clear" w:color="auto" w:fill="auto"/>
            <w:noWrap w:val="0"/>
            <w:vAlign w:val="center"/>
          </w:tcPr>
          <w:p w14:paraId="21295DCF">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413B5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01" w:hRule="atLeast"/>
        </w:trPr>
        <w:tc>
          <w:tcPr>
            <w:tcW w:w="432" w:type="dxa"/>
            <w:noWrap w:val="0"/>
            <w:vAlign w:val="center"/>
          </w:tcPr>
          <w:p w14:paraId="4EAB6B7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63</w:t>
            </w:r>
          </w:p>
        </w:tc>
        <w:tc>
          <w:tcPr>
            <w:tcW w:w="3112" w:type="dxa"/>
            <w:shd w:val="clear" w:color="auto" w:fill="auto"/>
            <w:noWrap w:val="0"/>
            <w:vAlign w:val="center"/>
          </w:tcPr>
          <w:p w14:paraId="23197D59">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眼镜制配者使用属于强制检定的计量器具，未按照规定定期检定</w:t>
            </w:r>
          </w:p>
        </w:tc>
        <w:tc>
          <w:tcPr>
            <w:tcW w:w="2693" w:type="dxa"/>
            <w:shd w:val="clear" w:color="auto" w:fill="auto"/>
            <w:noWrap w:val="0"/>
            <w:vAlign w:val="center"/>
          </w:tcPr>
          <w:p w14:paraId="7FA1363B">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同时具备以下条件：</w:t>
            </w:r>
          </w:p>
          <w:p w14:paraId="7E3ED2B0">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1.初次违法；</w:t>
            </w:r>
          </w:p>
          <w:p w14:paraId="3BE29621">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2.经发现后主动送检；</w:t>
            </w:r>
          </w:p>
          <w:p w14:paraId="1FCAC499">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3.实际使用的计量器具经检定合格；</w:t>
            </w:r>
          </w:p>
          <w:p w14:paraId="1AA8AB99">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4.违法经营时间较短。</w:t>
            </w:r>
          </w:p>
        </w:tc>
        <w:tc>
          <w:tcPr>
            <w:tcW w:w="5812" w:type="dxa"/>
            <w:shd w:val="clear" w:color="auto" w:fill="auto"/>
            <w:noWrap w:val="0"/>
            <w:vAlign w:val="center"/>
          </w:tcPr>
          <w:p w14:paraId="7814289C">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《眼镜制配计量监督管理办法》第四条第三项 眼镜制配者应当遵守以下规定：（三）使用属于强制检定的计量器具必须按照规定登记造册，报当地县级市场监督管理部门备案，并向其指定的计量检定机构申请周期检定。当地不能检定的，向上一级市场监督管理部门指定的计量检定机构申请周期检定。</w:t>
            </w:r>
          </w:p>
        </w:tc>
        <w:tc>
          <w:tcPr>
            <w:tcW w:w="2017" w:type="dxa"/>
            <w:shd w:val="clear" w:color="auto" w:fill="auto"/>
            <w:noWrap w:val="0"/>
            <w:vAlign w:val="center"/>
          </w:tcPr>
          <w:p w14:paraId="3B5B4476">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54923B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shd w:val="clear" w:color="auto" w:fill="FFFFFF"/>
            <w:noWrap w:val="0"/>
            <w:vAlign w:val="center"/>
          </w:tcPr>
          <w:p w14:paraId="5831A32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64</w:t>
            </w:r>
          </w:p>
        </w:tc>
        <w:tc>
          <w:tcPr>
            <w:tcW w:w="3112" w:type="dxa"/>
            <w:shd w:val="clear" w:color="auto" w:fill="auto"/>
            <w:noWrap w:val="0"/>
            <w:vAlign w:val="center"/>
          </w:tcPr>
          <w:p w14:paraId="202E9852">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生产、销售定量包装商品未标注净含量</w:t>
            </w:r>
          </w:p>
        </w:tc>
        <w:tc>
          <w:tcPr>
            <w:tcW w:w="2693" w:type="dxa"/>
            <w:shd w:val="clear" w:color="auto" w:fill="auto"/>
            <w:noWrap w:val="0"/>
            <w:vAlign w:val="center"/>
          </w:tcPr>
          <w:p w14:paraId="7A077493">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责令限期改正后及时改正的</w:t>
            </w:r>
          </w:p>
        </w:tc>
        <w:tc>
          <w:tcPr>
            <w:tcW w:w="5812" w:type="dxa"/>
            <w:shd w:val="clear" w:color="auto" w:fill="auto"/>
            <w:noWrap w:val="0"/>
            <w:vAlign w:val="center"/>
          </w:tcPr>
          <w:p w14:paraId="431F5016">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《定量包装商品计量监督管理办法》（</w:t>
            </w:r>
            <w:r>
              <w:rPr>
                <w:rFonts w:hint="eastAsia"/>
                <w:color w:val="333333"/>
                <w:szCs w:val="21"/>
                <w:shd w:val="clear" w:color="auto" w:fill="FFFFFF"/>
              </w:rPr>
              <w:t>国家市场监督管理总局令第70号，自2023年6月1日起施行）</w:t>
            </w:r>
            <w:r>
              <w:rPr>
                <w:rFonts w:hint="eastAsia"/>
                <w:color w:val="000000"/>
                <w:spacing w:val="-4"/>
                <w:kern w:val="0"/>
                <w:szCs w:val="21"/>
              </w:rPr>
              <w:t>第五条 生产者、销售者应当在其商品包装的显著位置正确、清晰地标注定量包装商品的</w:t>
            </w:r>
            <w:r>
              <w:rPr>
                <w:rFonts w:hint="eastAsia"/>
                <w:color w:val="000000"/>
                <w:spacing w:val="-4"/>
                <w:szCs w:val="21"/>
              </w:rPr>
              <w:fldChar w:fldCharType="begin"/>
            </w:r>
            <w:r>
              <w:rPr>
                <w:rFonts w:hint="eastAsia"/>
                <w:color w:val="000000"/>
                <w:spacing w:val="-4"/>
                <w:szCs w:val="21"/>
              </w:rPr>
              <w:instrText xml:space="preserve">HYPERLINK "https://baike.baidu.com/item/%E5%87%80%E5%90%AB%E9%87%8F/6212981" \t "_blank"</w:instrText>
            </w:r>
            <w:r>
              <w:rPr>
                <w:rFonts w:hint="eastAsia"/>
                <w:color w:val="000000"/>
                <w:spacing w:val="-4"/>
                <w:szCs w:val="21"/>
              </w:rPr>
              <w:fldChar w:fldCharType="separate"/>
            </w:r>
            <w:r>
              <w:rPr>
                <w:rFonts w:hint="eastAsia"/>
                <w:color w:val="000000"/>
                <w:spacing w:val="-4"/>
                <w:kern w:val="0"/>
                <w:szCs w:val="21"/>
              </w:rPr>
              <w:t>净含量</w:t>
            </w:r>
            <w:r>
              <w:rPr>
                <w:rFonts w:hint="eastAsia"/>
                <w:color w:val="000000"/>
                <w:spacing w:val="-4"/>
                <w:szCs w:val="21"/>
              </w:rPr>
              <w:fldChar w:fldCharType="end"/>
            </w:r>
            <w:r>
              <w:rPr>
                <w:rFonts w:hint="eastAsia"/>
                <w:color w:val="000000"/>
                <w:spacing w:val="-4"/>
                <w:kern w:val="0"/>
                <w:szCs w:val="21"/>
              </w:rPr>
              <w:t>。</w:t>
            </w:r>
          </w:p>
          <w:p w14:paraId="2A366E81">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《定量包装商品计量监督管理办法》第十七</w:t>
            </w:r>
            <w:r>
              <w:rPr>
                <w:rFonts w:hint="eastAsia"/>
                <w:spacing w:val="-4"/>
                <w:kern w:val="0"/>
                <w:szCs w:val="21"/>
              </w:rPr>
              <w:t xml:space="preserve">条 </w:t>
            </w:r>
            <w:r>
              <w:rPr>
                <w:rFonts w:hint="eastAsia" w:ascii="宋体" w:hAnsi="宋体" w:cs="宋体"/>
                <w:szCs w:val="21"/>
                <w:shd w:val="clear" w:color="auto" w:fill="FFFFFF"/>
              </w:rPr>
              <w:t>生产、销售定量包装商品违反本办法第五条、第六条、第七条规定，未正确、清晰地标注净含量的，由县级以上地方市场监督管理部门责令改正；未标注净含量的，限期改正，处三万元以下罚款。</w:t>
            </w:r>
          </w:p>
        </w:tc>
        <w:tc>
          <w:tcPr>
            <w:tcW w:w="2017" w:type="dxa"/>
            <w:shd w:val="clear" w:color="auto" w:fill="auto"/>
            <w:noWrap w:val="0"/>
            <w:vAlign w:val="center"/>
          </w:tcPr>
          <w:p w14:paraId="4DA6EBCC">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0FE102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shd w:val="clear" w:color="auto" w:fill="FFFFFF"/>
            <w:noWrap w:val="0"/>
            <w:vAlign w:val="center"/>
          </w:tcPr>
          <w:p w14:paraId="01205A0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65</w:t>
            </w:r>
          </w:p>
        </w:tc>
        <w:tc>
          <w:tcPr>
            <w:tcW w:w="3112" w:type="dxa"/>
            <w:shd w:val="clear" w:color="auto" w:fill="auto"/>
            <w:noWrap w:val="0"/>
            <w:vAlign w:val="center"/>
          </w:tcPr>
          <w:p w14:paraId="3C4D3312">
            <w:pPr>
              <w:overflowPunct w:val="0"/>
              <w:adjustRightInd w:val="0"/>
              <w:snapToGrid w:val="0"/>
              <w:textAlignment w:val="center"/>
              <w:rPr>
                <w:rFonts w:hint="eastAsia" w:ascii="宋体" w:hAnsi="宋体" w:eastAsiaTheme="minorEastAsia" w:cstheme="minorBidi"/>
                <w:color w:val="000000"/>
                <w:spacing w:val="-4"/>
                <w:kern w:val="0"/>
                <w:sz w:val="21"/>
                <w:szCs w:val="21"/>
                <w:lang w:val="en-US" w:eastAsia="zh-CN" w:bidi="ar-SA"/>
              </w:rPr>
            </w:pPr>
            <w:r>
              <w:rPr>
                <w:rFonts w:hint="eastAsia" w:ascii="宋体" w:hAnsi="宋体"/>
                <w:color w:val="000000"/>
                <w:spacing w:val="-4"/>
                <w:kern w:val="0"/>
                <w:szCs w:val="21"/>
              </w:rPr>
              <w:t>同一包装内含有多件同种或不同种定量包装商品未依法标注</w:t>
            </w:r>
          </w:p>
        </w:tc>
        <w:tc>
          <w:tcPr>
            <w:tcW w:w="2693" w:type="dxa"/>
            <w:shd w:val="clear" w:color="auto" w:fill="auto"/>
            <w:noWrap w:val="0"/>
            <w:vAlign w:val="center"/>
          </w:tcPr>
          <w:p w14:paraId="641A9F8C">
            <w:pPr>
              <w:overflowPunct w:val="0"/>
              <w:adjustRightInd w:val="0"/>
              <w:snapToGrid w:val="0"/>
              <w:textAlignment w:val="center"/>
              <w:rPr>
                <w:rFonts w:hint="eastAsia" w:ascii="宋体" w:hAnsi="宋体" w:eastAsiaTheme="minorEastAsia" w:cstheme="minorBidi"/>
                <w:color w:val="000000"/>
                <w:spacing w:val="-4"/>
                <w:kern w:val="0"/>
                <w:sz w:val="21"/>
                <w:szCs w:val="21"/>
                <w:lang w:val="en-US" w:eastAsia="zh-CN" w:bidi="ar-SA"/>
              </w:rPr>
            </w:pPr>
            <w:r>
              <w:rPr>
                <w:rFonts w:hint="eastAsia" w:ascii="宋体" w:hAnsi="宋体"/>
                <w:color w:val="000000"/>
                <w:spacing w:val="-4"/>
                <w:kern w:val="0"/>
                <w:szCs w:val="21"/>
              </w:rPr>
              <w:t>责令限期改正后及时改正的</w:t>
            </w:r>
          </w:p>
        </w:tc>
        <w:tc>
          <w:tcPr>
            <w:tcW w:w="5812" w:type="dxa"/>
            <w:shd w:val="clear" w:color="auto" w:fill="auto"/>
            <w:noWrap w:val="0"/>
            <w:vAlign w:val="center"/>
          </w:tcPr>
          <w:p w14:paraId="22EB99C1">
            <w:pPr>
              <w:overflowPunct w:val="0"/>
              <w:adjustRightInd w:val="0"/>
              <w:snapToGrid w:val="0"/>
              <w:textAlignment w:val="center"/>
              <w:rPr>
                <w:rFonts w:hint="eastAsia" w:ascii="宋体" w:hAnsi="宋体"/>
                <w:spacing w:val="-4"/>
                <w:kern w:val="0"/>
                <w:szCs w:val="21"/>
              </w:rPr>
            </w:pPr>
            <w:r>
              <w:rPr>
                <w:rFonts w:hint="eastAsia" w:ascii="宋体" w:hAnsi="宋体"/>
                <w:spacing w:val="-4"/>
                <w:kern w:val="0"/>
                <w:szCs w:val="21"/>
              </w:rPr>
              <w:t>《定量包装商品计量监督管理办法》（</w:t>
            </w:r>
            <w:r>
              <w:rPr>
                <w:rFonts w:hint="eastAsia" w:ascii="宋体" w:hAnsi="宋体"/>
                <w:szCs w:val="21"/>
                <w:shd w:val="clear" w:color="auto" w:fill="FFFFFF"/>
              </w:rPr>
              <w:t>国家市场监督管理总局令第70号，自2023年6月1日起施行）</w:t>
            </w:r>
            <w:r>
              <w:rPr>
                <w:rFonts w:hint="eastAsia" w:ascii="宋体" w:hAnsi="宋体"/>
                <w:spacing w:val="-4"/>
                <w:kern w:val="0"/>
                <w:szCs w:val="21"/>
              </w:rPr>
              <w:t>第七条 同一包装内含有多件同种</w:t>
            </w:r>
            <w:r>
              <w:rPr>
                <w:rFonts w:hint="eastAsia" w:ascii="宋体" w:hAnsi="宋体"/>
                <w:spacing w:val="-4"/>
                <w:szCs w:val="21"/>
              </w:rPr>
              <w:fldChar w:fldCharType="begin"/>
            </w:r>
            <w:r>
              <w:rPr>
                <w:rFonts w:hint="eastAsia" w:ascii="宋体" w:hAnsi="宋体"/>
                <w:spacing w:val="-4"/>
                <w:szCs w:val="21"/>
              </w:rPr>
              <w:instrText xml:space="preserve">HYPERLINK "https://baike.baidu.com/item/%E5%AE%9A%E9%87%8F%E5%8C%85%E8%A3%85%E5%95%86%E5%93%81/5848165" \t "_blank"</w:instrText>
            </w:r>
            <w:r>
              <w:rPr>
                <w:rFonts w:hint="eastAsia" w:ascii="宋体" w:hAnsi="宋体"/>
                <w:spacing w:val="-4"/>
                <w:szCs w:val="21"/>
              </w:rPr>
              <w:fldChar w:fldCharType="separate"/>
            </w:r>
            <w:r>
              <w:rPr>
                <w:rFonts w:hint="eastAsia" w:ascii="宋体" w:hAnsi="宋体"/>
                <w:spacing w:val="-4"/>
                <w:kern w:val="0"/>
                <w:szCs w:val="21"/>
              </w:rPr>
              <w:t>定量包装商品</w:t>
            </w:r>
            <w:r>
              <w:rPr>
                <w:rFonts w:hint="eastAsia" w:ascii="宋体" w:hAnsi="宋体"/>
                <w:spacing w:val="-4"/>
                <w:szCs w:val="21"/>
              </w:rPr>
              <w:fldChar w:fldCharType="end"/>
            </w:r>
            <w:r>
              <w:rPr>
                <w:rFonts w:hint="eastAsia" w:ascii="宋体" w:hAnsi="宋体"/>
                <w:spacing w:val="-4"/>
                <w:kern w:val="0"/>
                <w:szCs w:val="21"/>
              </w:rPr>
              <w:t>的，应当标注单件定量包装商品的</w:t>
            </w:r>
            <w:r>
              <w:rPr>
                <w:rFonts w:hint="eastAsia" w:ascii="宋体" w:hAnsi="宋体"/>
                <w:spacing w:val="-4"/>
                <w:szCs w:val="21"/>
              </w:rPr>
              <w:fldChar w:fldCharType="begin"/>
            </w:r>
            <w:r>
              <w:rPr>
                <w:rFonts w:hint="eastAsia" w:ascii="宋体" w:hAnsi="宋体"/>
                <w:spacing w:val="-4"/>
                <w:szCs w:val="21"/>
              </w:rPr>
              <w:instrText xml:space="preserve">HYPERLINK "https://baike.baidu.com/item/%E5%87%80%E5%90%AB%E9%87%8F/6212981" \t "_blank"</w:instrText>
            </w:r>
            <w:r>
              <w:rPr>
                <w:rFonts w:hint="eastAsia" w:ascii="宋体" w:hAnsi="宋体"/>
                <w:spacing w:val="-4"/>
                <w:szCs w:val="21"/>
              </w:rPr>
              <w:fldChar w:fldCharType="separate"/>
            </w:r>
            <w:r>
              <w:rPr>
                <w:rFonts w:hint="eastAsia" w:ascii="宋体" w:hAnsi="宋体"/>
                <w:spacing w:val="-4"/>
                <w:kern w:val="0"/>
                <w:szCs w:val="21"/>
              </w:rPr>
              <w:t>净含量</w:t>
            </w:r>
            <w:r>
              <w:rPr>
                <w:rFonts w:hint="eastAsia" w:ascii="宋体" w:hAnsi="宋体"/>
                <w:spacing w:val="-4"/>
                <w:szCs w:val="21"/>
              </w:rPr>
              <w:fldChar w:fldCharType="end"/>
            </w:r>
            <w:r>
              <w:rPr>
                <w:rFonts w:hint="eastAsia" w:ascii="宋体" w:hAnsi="宋体"/>
                <w:spacing w:val="-4"/>
                <w:kern w:val="0"/>
                <w:szCs w:val="21"/>
              </w:rPr>
              <w:t>和总件数，或者标注总净含量。</w:t>
            </w:r>
          </w:p>
          <w:p w14:paraId="074AE0EB">
            <w:pPr>
              <w:overflowPunct w:val="0"/>
              <w:adjustRightInd w:val="0"/>
              <w:snapToGrid w:val="0"/>
              <w:textAlignment w:val="center"/>
              <w:rPr>
                <w:rFonts w:hint="eastAsia" w:ascii="宋体" w:hAnsi="宋体"/>
                <w:spacing w:val="-4"/>
                <w:kern w:val="0"/>
                <w:szCs w:val="21"/>
              </w:rPr>
            </w:pPr>
            <w:r>
              <w:rPr>
                <w:rFonts w:hint="eastAsia" w:ascii="宋体" w:hAnsi="宋体"/>
                <w:spacing w:val="-4"/>
                <w:kern w:val="0"/>
                <w:szCs w:val="21"/>
              </w:rPr>
              <w:t>应当标注各种不同种定量包装商品的单件净含量和各种不同种定量包装商品的件数，或者分别标注各种不同种定量包装商品的总净含量。</w:t>
            </w:r>
          </w:p>
          <w:p w14:paraId="23B62378">
            <w:pPr>
              <w:overflowPunct w:val="0"/>
              <w:adjustRightInd w:val="0"/>
              <w:snapToGrid w:val="0"/>
              <w:textAlignment w:val="center"/>
              <w:rPr>
                <w:rFonts w:hint="eastAsia" w:ascii="宋体" w:hAnsi="宋体" w:cs="宋体" w:eastAsiaTheme="minorEastAsia"/>
                <w:kern w:val="2"/>
                <w:sz w:val="21"/>
                <w:szCs w:val="21"/>
                <w:shd w:val="clear" w:color="auto" w:fill="FFFFFF"/>
                <w:lang w:val="en-US" w:eastAsia="zh-CN" w:bidi="ar-SA"/>
              </w:rPr>
            </w:pPr>
            <w:r>
              <w:rPr>
                <w:rFonts w:hint="eastAsia" w:ascii="宋体" w:hAnsi="宋体" w:cs="宋体"/>
                <w:szCs w:val="21"/>
                <w:shd w:val="clear" w:color="auto" w:fill="FFFFFF"/>
              </w:rPr>
              <w:t>生产、销售定量包装商品违反本办法第五条、第六条、第七条规定，未正确、清晰地标注净含量的，由县级以上地方市场监督管理部门责令改正；未标注净含量的，限期改正，处三万元以下罚款。</w:t>
            </w:r>
          </w:p>
        </w:tc>
        <w:tc>
          <w:tcPr>
            <w:tcW w:w="2017" w:type="dxa"/>
            <w:shd w:val="clear" w:color="auto" w:fill="auto"/>
            <w:noWrap w:val="0"/>
            <w:vAlign w:val="center"/>
          </w:tcPr>
          <w:p w14:paraId="0DD7D1C5">
            <w:pPr>
              <w:overflowPunct w:val="0"/>
              <w:adjustRightInd w:val="0"/>
              <w:snapToGrid w:val="0"/>
              <w:rPr>
                <w:rFonts w:hint="eastAsia" w:ascii="宋体" w:hAnsi="宋体" w:eastAsiaTheme="minorEastAsia" w:cstheme="minorBidi"/>
                <w:color w:val="000000"/>
                <w:spacing w:val="-4"/>
                <w:kern w:val="0"/>
                <w:sz w:val="21"/>
                <w:szCs w:val="21"/>
                <w:lang w:val="en-US" w:eastAsia="zh-CN" w:bidi="ar-SA"/>
              </w:rPr>
            </w:pPr>
            <w:r>
              <w:rPr>
                <w:rFonts w:hint="eastAsia" w:ascii="宋体" w:hAnsi="宋体"/>
                <w:color w:val="000000"/>
                <w:spacing w:val="-4"/>
                <w:kern w:val="0"/>
                <w:szCs w:val="21"/>
              </w:rPr>
              <w:t>苏州市市场监督管理局及各市（区）市场监督管理局</w:t>
            </w:r>
          </w:p>
        </w:tc>
      </w:tr>
      <w:tr w14:paraId="145D6D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0" w:hRule="atLeast"/>
        </w:trPr>
        <w:tc>
          <w:tcPr>
            <w:tcW w:w="432" w:type="dxa"/>
            <w:noWrap w:val="0"/>
            <w:vAlign w:val="center"/>
          </w:tcPr>
          <w:p w14:paraId="284884D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66</w:t>
            </w:r>
          </w:p>
        </w:tc>
        <w:tc>
          <w:tcPr>
            <w:tcW w:w="3112" w:type="dxa"/>
            <w:shd w:val="clear" w:color="auto" w:fill="auto"/>
            <w:noWrap w:val="0"/>
            <w:vAlign w:val="center"/>
          </w:tcPr>
          <w:p w14:paraId="55E47DA1">
            <w:pPr>
              <w:overflowPunct w:val="0"/>
              <w:adjustRightInd w:val="0"/>
              <w:snapToGrid w:val="0"/>
              <w:textAlignment w:val="center"/>
              <w:rPr>
                <w:rFonts w:hint="eastAsia" w:ascii="宋体" w:hAnsi="宋体" w:eastAsiaTheme="minorEastAsia" w:cstheme="minorBidi"/>
                <w:color w:val="000000"/>
                <w:spacing w:val="-4"/>
                <w:kern w:val="0"/>
                <w:sz w:val="21"/>
                <w:szCs w:val="21"/>
                <w:lang w:val="en-US" w:eastAsia="zh-CN" w:bidi="ar-SA"/>
              </w:rPr>
            </w:pPr>
            <w:r>
              <w:rPr>
                <w:rFonts w:ascii="宋体" w:hAnsi="宋体"/>
                <w:color w:val="000000"/>
                <w:spacing w:val="-4"/>
                <w:kern w:val="0"/>
                <w:szCs w:val="21"/>
              </w:rPr>
              <w:t>单件定量包装</w:t>
            </w:r>
            <w:r>
              <w:rPr>
                <w:rFonts w:hint="eastAsia" w:ascii="宋体" w:hAnsi="宋体"/>
                <w:color w:val="000000"/>
                <w:spacing w:val="-4"/>
                <w:kern w:val="0"/>
                <w:szCs w:val="21"/>
              </w:rPr>
              <w:t>商品的平均实际含量小于其标注净含量</w:t>
            </w:r>
          </w:p>
        </w:tc>
        <w:tc>
          <w:tcPr>
            <w:tcW w:w="2693" w:type="dxa"/>
            <w:shd w:val="clear" w:color="auto" w:fill="auto"/>
            <w:noWrap w:val="0"/>
            <w:vAlign w:val="center"/>
          </w:tcPr>
          <w:p w14:paraId="0DC17A91">
            <w:pPr>
              <w:overflowPunct w:val="0"/>
              <w:adjustRightInd w:val="0"/>
              <w:snapToGrid w:val="0"/>
              <w:textAlignment w:val="center"/>
              <w:rPr>
                <w:rFonts w:hint="eastAsia" w:ascii="宋体" w:hAnsi="宋体"/>
                <w:color w:val="000000"/>
                <w:spacing w:val="-4"/>
                <w:kern w:val="0"/>
                <w:szCs w:val="21"/>
              </w:rPr>
            </w:pPr>
            <w:r>
              <w:rPr>
                <w:rFonts w:hint="eastAsia" w:ascii="宋体" w:hAnsi="宋体"/>
                <w:color w:val="000000"/>
                <w:spacing w:val="-4"/>
                <w:kern w:val="0"/>
                <w:szCs w:val="21"/>
              </w:rPr>
              <w:t>同时具备以下条件：</w:t>
            </w:r>
          </w:p>
          <w:p w14:paraId="4BF9E187">
            <w:pPr>
              <w:overflowPunct w:val="0"/>
              <w:adjustRightInd w:val="0"/>
              <w:snapToGrid w:val="0"/>
              <w:textAlignment w:val="center"/>
              <w:rPr>
                <w:rFonts w:hint="eastAsia" w:ascii="宋体" w:hAnsi="宋体"/>
                <w:color w:val="000000"/>
                <w:spacing w:val="-4"/>
                <w:kern w:val="0"/>
                <w:szCs w:val="21"/>
              </w:rPr>
            </w:pPr>
            <w:r>
              <w:rPr>
                <w:rFonts w:hint="eastAsia" w:ascii="宋体" w:hAnsi="宋体"/>
                <w:color w:val="000000"/>
                <w:spacing w:val="-4"/>
                <w:kern w:val="0"/>
                <w:szCs w:val="21"/>
              </w:rPr>
              <w:t>1.能够说明合法来源及提供者；</w:t>
            </w:r>
          </w:p>
          <w:p w14:paraId="20293700">
            <w:pPr>
              <w:overflowPunct w:val="0"/>
              <w:adjustRightInd w:val="0"/>
              <w:snapToGrid w:val="0"/>
              <w:textAlignment w:val="center"/>
              <w:rPr>
                <w:rFonts w:hint="eastAsia" w:ascii="宋体" w:hAnsi="宋体"/>
                <w:color w:val="000000"/>
                <w:spacing w:val="-4"/>
                <w:kern w:val="0"/>
                <w:szCs w:val="21"/>
              </w:rPr>
            </w:pPr>
            <w:r>
              <w:rPr>
                <w:rFonts w:hint="eastAsia" w:ascii="宋体" w:hAnsi="宋体"/>
                <w:color w:val="000000"/>
                <w:spacing w:val="-4"/>
                <w:kern w:val="0"/>
                <w:szCs w:val="21"/>
              </w:rPr>
              <w:t>2.及时改正；</w:t>
            </w:r>
          </w:p>
          <w:p w14:paraId="0025B0D8">
            <w:pPr>
              <w:overflowPunct w:val="0"/>
              <w:adjustRightInd w:val="0"/>
              <w:snapToGrid w:val="0"/>
              <w:textAlignment w:val="center"/>
              <w:rPr>
                <w:rFonts w:hint="eastAsia" w:ascii="宋体" w:hAnsi="宋体" w:eastAsiaTheme="minorEastAsia" w:cstheme="minorBidi"/>
                <w:color w:val="000000"/>
                <w:spacing w:val="-4"/>
                <w:kern w:val="0"/>
                <w:sz w:val="21"/>
                <w:szCs w:val="21"/>
                <w:lang w:val="en-US" w:eastAsia="zh-CN" w:bidi="ar-SA"/>
              </w:rPr>
            </w:pPr>
            <w:r>
              <w:rPr>
                <w:rFonts w:hint="eastAsia" w:ascii="宋体" w:hAnsi="宋体"/>
                <w:color w:val="000000"/>
                <w:spacing w:val="-4"/>
                <w:kern w:val="0"/>
                <w:szCs w:val="21"/>
              </w:rPr>
              <w:t>3.危害后果轻微。</w:t>
            </w:r>
          </w:p>
        </w:tc>
        <w:tc>
          <w:tcPr>
            <w:tcW w:w="5812" w:type="dxa"/>
            <w:shd w:val="clear" w:color="auto" w:fill="auto"/>
            <w:noWrap w:val="0"/>
            <w:vAlign w:val="center"/>
          </w:tcPr>
          <w:p w14:paraId="26EB8590">
            <w:pPr>
              <w:overflowPunct w:val="0"/>
              <w:adjustRightInd w:val="0"/>
              <w:snapToGrid w:val="0"/>
              <w:textAlignment w:val="center"/>
              <w:rPr>
                <w:rFonts w:ascii="宋体" w:hAnsi="宋体"/>
                <w:color w:val="000000"/>
                <w:spacing w:val="-4"/>
                <w:kern w:val="0"/>
                <w:szCs w:val="21"/>
              </w:rPr>
            </w:pPr>
            <w:r>
              <w:rPr>
                <w:rFonts w:hint="eastAsia" w:ascii="宋体" w:hAnsi="宋体"/>
                <w:color w:val="000000"/>
                <w:spacing w:val="-4"/>
                <w:kern w:val="0"/>
                <w:szCs w:val="21"/>
              </w:rPr>
              <w:t>《定量包装商品计量监督管理办法》（国家市场监督管理总局令第70号，自2023年6月1日起施行）</w:t>
            </w:r>
            <w:r>
              <w:rPr>
                <w:rFonts w:ascii="宋体" w:hAnsi="宋体"/>
                <w:color w:val="000000"/>
                <w:spacing w:val="-4"/>
                <w:kern w:val="0"/>
                <w:szCs w:val="21"/>
              </w:rPr>
              <w:t>第八条 单件定量包装商品的实际含量应当准确反映其标注净含量，标注净含量与实际含量之差不得大于本办法附件3规定的允许短缺量。</w:t>
            </w:r>
          </w:p>
          <w:p w14:paraId="0E4BFB6A">
            <w:pPr>
              <w:overflowPunct w:val="0"/>
              <w:adjustRightInd w:val="0"/>
              <w:snapToGrid w:val="0"/>
              <w:textAlignment w:val="center"/>
              <w:rPr>
                <w:rFonts w:hint="eastAsia" w:ascii="宋体" w:hAnsi="宋体" w:eastAsiaTheme="minorEastAsia" w:cstheme="minorBidi"/>
                <w:color w:val="000000"/>
                <w:spacing w:val="-4"/>
                <w:kern w:val="0"/>
                <w:sz w:val="21"/>
                <w:szCs w:val="21"/>
                <w:lang w:val="en-US" w:eastAsia="zh-CN" w:bidi="ar-SA"/>
              </w:rPr>
            </w:pPr>
            <w:r>
              <w:rPr>
                <w:rFonts w:hint="eastAsia" w:ascii="宋体" w:hAnsi="宋体"/>
                <w:color w:val="000000"/>
                <w:spacing w:val="-4"/>
                <w:kern w:val="0"/>
                <w:szCs w:val="21"/>
              </w:rPr>
              <w:t xml:space="preserve">《定量包装商品计量监督管理办法》第十八条 </w:t>
            </w:r>
            <w:r>
              <w:rPr>
                <w:rFonts w:ascii="宋体" w:hAnsi="宋体"/>
                <w:color w:val="000000"/>
                <w:spacing w:val="-4"/>
                <w:kern w:val="0"/>
                <w:szCs w:val="21"/>
              </w:rPr>
              <w:t>生产、销售的定量包装商品，经检验违反本办法第八条、第九条规定的，由县级以上地方市场监督管理部门责令改正，处三万元以下罚款。</w:t>
            </w:r>
          </w:p>
        </w:tc>
        <w:tc>
          <w:tcPr>
            <w:tcW w:w="2017" w:type="dxa"/>
            <w:shd w:val="clear" w:color="auto" w:fill="auto"/>
            <w:noWrap w:val="0"/>
            <w:vAlign w:val="center"/>
          </w:tcPr>
          <w:p w14:paraId="4B743EA3">
            <w:pPr>
              <w:overflowPunct w:val="0"/>
              <w:adjustRightInd w:val="0"/>
              <w:snapToGrid w:val="0"/>
              <w:textAlignment w:val="center"/>
              <w:rPr>
                <w:rFonts w:hint="eastAsia" w:ascii="宋体" w:hAnsi="宋体" w:eastAsiaTheme="minorEastAsia" w:cstheme="minorBidi"/>
                <w:color w:val="000000"/>
                <w:spacing w:val="-4"/>
                <w:kern w:val="0"/>
                <w:sz w:val="21"/>
                <w:szCs w:val="21"/>
                <w:lang w:val="en-US" w:eastAsia="zh-CN" w:bidi="ar-SA"/>
              </w:rPr>
            </w:pPr>
          </w:p>
        </w:tc>
      </w:tr>
      <w:tr w14:paraId="419764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noWrap w:val="0"/>
            <w:vAlign w:val="center"/>
          </w:tcPr>
          <w:p w14:paraId="1CA1B24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67</w:t>
            </w:r>
          </w:p>
        </w:tc>
        <w:tc>
          <w:tcPr>
            <w:tcW w:w="3112" w:type="dxa"/>
            <w:shd w:val="clear" w:color="auto" w:fill="auto"/>
            <w:noWrap w:val="0"/>
            <w:vAlign w:val="center"/>
          </w:tcPr>
          <w:p w14:paraId="39798870">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销售批量定量包装商品的平均实际含量小于其标注净含量</w:t>
            </w:r>
          </w:p>
        </w:tc>
        <w:tc>
          <w:tcPr>
            <w:tcW w:w="2693" w:type="dxa"/>
            <w:shd w:val="clear" w:color="auto" w:fill="auto"/>
            <w:noWrap w:val="0"/>
            <w:vAlign w:val="center"/>
          </w:tcPr>
          <w:p w14:paraId="792CDEDB">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w:t>
            </w:r>
          </w:p>
          <w:p w14:paraId="06BB09E4">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1.能够说明合法来源及提供者；</w:t>
            </w:r>
          </w:p>
          <w:p w14:paraId="36526193">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2.及时改正；</w:t>
            </w:r>
          </w:p>
          <w:p w14:paraId="1A736309">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2E20B4FD">
            <w:pPr>
              <w:overflowPunct w:val="0"/>
              <w:adjustRightInd w:val="0"/>
              <w:snapToGrid w:val="0"/>
              <w:jc w:val="left"/>
              <w:textAlignment w:val="center"/>
              <w:rPr>
                <w:rFonts w:hint="eastAsia" w:ascii="宋体" w:hAnsi="宋体"/>
                <w:spacing w:val="-4"/>
                <w:kern w:val="0"/>
                <w:szCs w:val="21"/>
              </w:rPr>
            </w:pPr>
            <w:r>
              <w:rPr>
                <w:rFonts w:hint="eastAsia" w:ascii="宋体" w:hAnsi="宋体"/>
                <w:spacing w:val="-4"/>
                <w:kern w:val="0"/>
                <w:szCs w:val="21"/>
              </w:rPr>
              <w:t>《定量包装商品计量监督管理办法》（</w:t>
            </w:r>
            <w:r>
              <w:rPr>
                <w:rFonts w:hint="eastAsia" w:ascii="宋体" w:hAnsi="宋体"/>
                <w:szCs w:val="21"/>
                <w:shd w:val="clear" w:color="auto" w:fill="FFFFFF"/>
              </w:rPr>
              <w:t>国家市场监督管理总局令第70号，自2023年6月1日起施行）</w:t>
            </w:r>
            <w:r>
              <w:rPr>
                <w:rFonts w:hint="eastAsia" w:ascii="宋体" w:hAnsi="宋体"/>
                <w:spacing w:val="-4"/>
                <w:kern w:val="0"/>
                <w:szCs w:val="21"/>
              </w:rPr>
              <w:t>第九条  批量定量包装商品的平均实际含量应当大于或者等于其标注净含量。</w:t>
            </w:r>
          </w:p>
          <w:p w14:paraId="54420D3D">
            <w:pPr>
              <w:overflowPunct w:val="0"/>
              <w:adjustRightInd w:val="0"/>
              <w:snapToGrid w:val="0"/>
              <w:jc w:val="left"/>
              <w:textAlignment w:val="center"/>
              <w:rPr>
                <w:rFonts w:hint="eastAsia" w:asciiTheme="minorHAnsi" w:hAnsiTheme="minorHAnsi" w:eastAsiaTheme="minorEastAsia" w:cstheme="minorBidi"/>
                <w:spacing w:val="-4"/>
                <w:kern w:val="0"/>
                <w:sz w:val="21"/>
                <w:szCs w:val="21"/>
                <w:lang w:val="en-US" w:eastAsia="zh-CN" w:bidi="ar-SA"/>
              </w:rPr>
            </w:pPr>
            <w:r>
              <w:rPr>
                <w:rFonts w:hint="eastAsia" w:ascii="宋体" w:hAnsi="宋体"/>
                <w:spacing w:val="-4"/>
                <w:kern w:val="0"/>
                <w:szCs w:val="21"/>
              </w:rPr>
              <w:t xml:space="preserve">《定量包装商品计量监督管理办法》第十八条 </w:t>
            </w:r>
            <w:r>
              <w:rPr>
                <w:rFonts w:ascii="宋体" w:hAnsi="宋体"/>
                <w:szCs w:val="21"/>
                <w:shd w:val="clear" w:color="auto" w:fill="FFFFFF"/>
              </w:rPr>
              <w:t>生产、销售的定量包装商品，经检验违反本办法第八条、第九条规定的，由县级以上地方市场监督管理部门责令改正，处三万元以下罚款。</w:t>
            </w:r>
          </w:p>
        </w:tc>
        <w:tc>
          <w:tcPr>
            <w:tcW w:w="2017" w:type="dxa"/>
            <w:shd w:val="clear" w:color="auto" w:fill="auto"/>
            <w:noWrap w:val="0"/>
            <w:vAlign w:val="center"/>
          </w:tcPr>
          <w:p w14:paraId="3DFE87C1">
            <w:pPr>
              <w:overflowPunct w:val="0"/>
              <w:adjustRightInd w:val="0"/>
              <w:snapToGrid w:val="0"/>
              <w:jc w:val="center"/>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0AFEEB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noWrap w:val="0"/>
            <w:vAlign w:val="center"/>
          </w:tcPr>
          <w:p w14:paraId="1D4ED54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68</w:t>
            </w:r>
          </w:p>
        </w:tc>
        <w:tc>
          <w:tcPr>
            <w:tcW w:w="3112" w:type="dxa"/>
            <w:shd w:val="clear" w:color="auto" w:fill="auto"/>
            <w:noWrap w:val="0"/>
            <w:vAlign w:val="center"/>
          </w:tcPr>
          <w:p w14:paraId="430CD663">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使用已经注销的厂商识别代码和相应商品条码</w:t>
            </w:r>
          </w:p>
        </w:tc>
        <w:tc>
          <w:tcPr>
            <w:tcW w:w="2693" w:type="dxa"/>
            <w:shd w:val="clear" w:color="auto" w:fill="auto"/>
            <w:noWrap w:val="0"/>
            <w:vAlign w:val="center"/>
          </w:tcPr>
          <w:p w14:paraId="7D104EE1">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责令改正期限内恢复厂商识别代码和相应商品条码效力的。</w:t>
            </w:r>
          </w:p>
        </w:tc>
        <w:tc>
          <w:tcPr>
            <w:tcW w:w="5812" w:type="dxa"/>
            <w:shd w:val="clear" w:color="auto" w:fill="auto"/>
            <w:noWrap w:val="0"/>
            <w:vAlign w:val="center"/>
          </w:tcPr>
          <w:p w14:paraId="326B4E01">
            <w:pPr>
              <w:overflowPunct w:val="0"/>
              <w:adjustRightInd w:val="0"/>
              <w:snapToGrid w:val="0"/>
              <w:jc w:val="left"/>
              <w:textAlignment w:val="center"/>
              <w:rPr>
                <w:rFonts w:ascii="宋体" w:hAnsi="宋体"/>
                <w:color w:val="000000"/>
                <w:spacing w:val="-4"/>
                <w:kern w:val="0"/>
                <w:szCs w:val="21"/>
              </w:rPr>
            </w:pPr>
            <w:r>
              <w:rPr>
                <w:rFonts w:hint="eastAsia" w:ascii="宋体" w:hAnsi="宋体"/>
                <w:color w:val="000000"/>
                <w:spacing w:val="-4"/>
                <w:kern w:val="0"/>
                <w:szCs w:val="21"/>
              </w:rPr>
              <w:t xml:space="preserve">《商品条码管理办法》第三十二条 </w:t>
            </w:r>
            <w:r>
              <w:rPr>
                <w:rFonts w:ascii="宋体" w:hAnsi="宋体"/>
                <w:color w:val="000000"/>
                <w:spacing w:val="-4"/>
                <w:kern w:val="0"/>
                <w:szCs w:val="21"/>
              </w:rPr>
              <w:t xml:space="preserve"> 任何单位和个人不得擅自使用已经注销的厂商识别代码和相应条码。</w:t>
            </w:r>
          </w:p>
          <w:p w14:paraId="2A76D0EA">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ascii="宋体" w:hAnsi="宋体"/>
                <w:color w:val="000000"/>
                <w:spacing w:val="-4"/>
                <w:kern w:val="0"/>
                <w:szCs w:val="21"/>
              </w:rPr>
              <w:t>《商品条码管理办法》</w:t>
            </w:r>
            <w:r>
              <w:rPr>
                <w:rFonts w:ascii="宋体" w:hAnsi="宋体"/>
                <w:color w:val="000000"/>
                <w:spacing w:val="-4"/>
                <w:kern w:val="0"/>
                <w:szCs w:val="21"/>
              </w:rPr>
              <w:t>第三十五条</w:t>
            </w:r>
            <w:r>
              <w:rPr>
                <w:rFonts w:hint="eastAsia" w:ascii="宋体" w:hAnsi="宋体"/>
                <w:color w:val="000000"/>
                <w:spacing w:val="-4"/>
                <w:kern w:val="0"/>
                <w:szCs w:val="21"/>
              </w:rPr>
              <w:t xml:space="preserve"> </w:t>
            </w:r>
            <w:r>
              <w:rPr>
                <w:rFonts w:ascii="宋体" w:hAnsi="宋体"/>
                <w:color w:val="000000"/>
                <w:spacing w:val="-4"/>
                <w:kern w:val="0"/>
                <w:szCs w:val="21"/>
              </w:rPr>
              <w:t xml:space="preserve"> 未经核准注册使用厂商识别代码和相应商品条码的，在商品包装上使用其他条码冒充商品条码或伪造商品条码的，或者使用已经注销的厂商识别代码和相应商品条码的，责令其改正，处以30000元以下罚款。</w:t>
            </w:r>
          </w:p>
        </w:tc>
        <w:tc>
          <w:tcPr>
            <w:tcW w:w="2017" w:type="dxa"/>
            <w:shd w:val="clear" w:color="auto" w:fill="auto"/>
            <w:noWrap w:val="0"/>
            <w:vAlign w:val="center"/>
          </w:tcPr>
          <w:p w14:paraId="5FEA649F">
            <w:pPr>
              <w:overflowPunct w:val="0"/>
              <w:adjustRightInd w:val="0"/>
              <w:snapToGrid w:val="0"/>
              <w:jc w:val="center"/>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50DEC7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57" w:hRule="atLeast"/>
        </w:trPr>
        <w:tc>
          <w:tcPr>
            <w:tcW w:w="432" w:type="dxa"/>
            <w:noWrap w:val="0"/>
            <w:vAlign w:val="center"/>
          </w:tcPr>
          <w:p w14:paraId="366741B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69</w:t>
            </w:r>
          </w:p>
        </w:tc>
        <w:tc>
          <w:tcPr>
            <w:tcW w:w="3112" w:type="dxa"/>
            <w:shd w:val="clear" w:color="auto" w:fill="auto"/>
            <w:noWrap w:val="0"/>
            <w:vAlign w:val="center"/>
          </w:tcPr>
          <w:p w14:paraId="36C3F0C3">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水效标识不规范</w:t>
            </w:r>
          </w:p>
        </w:tc>
        <w:tc>
          <w:tcPr>
            <w:tcW w:w="2693" w:type="dxa"/>
            <w:shd w:val="clear" w:color="auto" w:fill="auto"/>
            <w:noWrap w:val="0"/>
            <w:vAlign w:val="center"/>
          </w:tcPr>
          <w:p w14:paraId="502FDA64">
            <w:pPr>
              <w:overflowPunct w:val="0"/>
              <w:adjustRightInd w:val="0"/>
              <w:snapToGrid w:val="0"/>
              <w:jc w:val="left"/>
              <w:rPr>
                <w:rFonts w:hint="eastAsia"/>
                <w:color w:val="000000"/>
                <w:spacing w:val="-4"/>
                <w:kern w:val="0"/>
                <w:szCs w:val="21"/>
              </w:rPr>
            </w:pPr>
            <w:r>
              <w:rPr>
                <w:rFonts w:hint="eastAsia"/>
                <w:color w:val="000000"/>
                <w:spacing w:val="-4"/>
                <w:kern w:val="0"/>
                <w:szCs w:val="21"/>
              </w:rPr>
              <w:t>同时具备以下条件可不予处罚：</w:t>
            </w:r>
          </w:p>
          <w:p w14:paraId="53D69027">
            <w:pPr>
              <w:numPr>
                <w:ilvl w:val="0"/>
                <w:numId w:val="2"/>
              </w:numPr>
              <w:overflowPunct w:val="0"/>
              <w:adjustRightInd w:val="0"/>
              <w:snapToGrid w:val="0"/>
              <w:jc w:val="left"/>
              <w:rPr>
                <w:color w:val="000000"/>
                <w:spacing w:val="-4"/>
                <w:kern w:val="0"/>
                <w:szCs w:val="21"/>
              </w:rPr>
            </w:pPr>
            <w:r>
              <w:rPr>
                <w:rFonts w:hint="eastAsia"/>
                <w:color w:val="000000"/>
                <w:spacing w:val="-4"/>
                <w:kern w:val="0"/>
                <w:szCs w:val="21"/>
              </w:rPr>
              <w:t>首次违法；</w:t>
            </w:r>
          </w:p>
          <w:p w14:paraId="074FB52C">
            <w:pPr>
              <w:overflowPunct w:val="0"/>
              <w:adjustRightInd w:val="0"/>
              <w:snapToGrid w:val="0"/>
              <w:jc w:val="left"/>
              <w:rPr>
                <w:color w:val="000000"/>
                <w:spacing w:val="-4"/>
                <w:kern w:val="0"/>
                <w:szCs w:val="21"/>
              </w:rPr>
            </w:pPr>
            <w:r>
              <w:rPr>
                <w:rFonts w:hint="eastAsia"/>
                <w:color w:val="000000"/>
                <w:spacing w:val="-4"/>
                <w:kern w:val="0"/>
                <w:szCs w:val="21"/>
              </w:rPr>
              <w:t>2.</w:t>
            </w:r>
            <w:r>
              <w:rPr>
                <w:color w:val="000000"/>
                <w:spacing w:val="-4"/>
                <w:kern w:val="0"/>
                <w:szCs w:val="21"/>
              </w:rPr>
              <w:t>所使用的水效标识已进行备案；</w:t>
            </w:r>
          </w:p>
          <w:p w14:paraId="43D62D49">
            <w:pPr>
              <w:overflowPunct w:val="0"/>
              <w:adjustRightInd w:val="0"/>
              <w:snapToGrid w:val="0"/>
              <w:jc w:val="left"/>
              <w:rPr>
                <w:color w:val="000000"/>
                <w:spacing w:val="-4"/>
                <w:kern w:val="0"/>
                <w:szCs w:val="21"/>
              </w:rPr>
            </w:pPr>
            <w:r>
              <w:rPr>
                <w:rFonts w:hint="eastAsia"/>
                <w:color w:val="000000"/>
                <w:spacing w:val="-4"/>
                <w:kern w:val="0"/>
                <w:szCs w:val="21"/>
              </w:rPr>
              <w:t>3.</w:t>
            </w:r>
            <w:r>
              <w:rPr>
                <w:color w:val="000000"/>
                <w:spacing w:val="-4"/>
                <w:kern w:val="0"/>
                <w:szCs w:val="21"/>
              </w:rPr>
              <w:t>主动改正；</w:t>
            </w:r>
          </w:p>
          <w:p w14:paraId="34670CC0">
            <w:pPr>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4</w:t>
            </w:r>
            <w:r>
              <w:rPr>
                <w:color w:val="000000"/>
                <w:spacing w:val="-4"/>
                <w:kern w:val="0"/>
                <w:szCs w:val="21"/>
              </w:rPr>
              <w:t>.</w:t>
            </w:r>
            <w:r>
              <w:rPr>
                <w:rFonts w:hint="eastAsia"/>
                <w:color w:val="000000"/>
                <w:spacing w:val="-4"/>
                <w:kern w:val="0"/>
                <w:szCs w:val="21"/>
              </w:rPr>
              <w:t>未造成危害后果或危害后果轻微</w:t>
            </w:r>
          </w:p>
        </w:tc>
        <w:tc>
          <w:tcPr>
            <w:tcW w:w="5812" w:type="dxa"/>
            <w:shd w:val="clear" w:color="auto" w:fill="auto"/>
            <w:noWrap w:val="0"/>
            <w:vAlign w:val="center"/>
          </w:tcPr>
          <w:p w14:paraId="2CA01958">
            <w:pPr>
              <w:tabs>
                <w:tab w:val="left" w:pos="821"/>
              </w:tabs>
              <w:overflowPunct w:val="0"/>
              <w:adjustRightInd w:val="0"/>
              <w:snapToGrid w:val="0"/>
              <w:jc w:val="left"/>
              <w:rPr>
                <w:color w:val="000000"/>
                <w:spacing w:val="-4"/>
                <w:kern w:val="0"/>
                <w:szCs w:val="21"/>
              </w:rPr>
            </w:pPr>
            <w:r>
              <w:rPr>
                <w:rFonts w:hint="eastAsia"/>
                <w:color w:val="000000"/>
                <w:spacing w:val="-4"/>
                <w:kern w:val="0"/>
                <w:szCs w:val="21"/>
              </w:rPr>
              <w:t xml:space="preserve">《水效标识管理办法》第八条  </w:t>
            </w:r>
            <w:r>
              <w:rPr>
                <w:color w:val="000000"/>
                <w:spacing w:val="-4"/>
                <w:kern w:val="0"/>
                <w:szCs w:val="21"/>
              </w:rPr>
              <w:t>凡列入《目录》的产品，应当在产品或者产品最小包装的明显部位标注水效标识，并在产品使用说明书中予以说明。对于网络交易，销售者应当在产品信息展示主页面醒目位置展示相应的水效标识。</w:t>
            </w:r>
          </w:p>
          <w:p w14:paraId="5CDDD7EC">
            <w:pPr>
              <w:tabs>
                <w:tab w:val="left" w:pos="821"/>
              </w:tabs>
              <w:overflowPunct w:val="0"/>
              <w:adjustRightInd w:val="0"/>
              <w:snapToGrid w:val="0"/>
              <w:jc w:val="left"/>
              <w:rPr>
                <w:color w:val="000000"/>
                <w:spacing w:val="-4"/>
                <w:kern w:val="0"/>
                <w:szCs w:val="21"/>
              </w:rPr>
            </w:pPr>
            <w:r>
              <w:rPr>
                <w:rFonts w:hint="eastAsia"/>
                <w:color w:val="000000"/>
                <w:spacing w:val="-4"/>
                <w:kern w:val="0"/>
                <w:szCs w:val="21"/>
              </w:rPr>
              <w:t>第十一条 生产者和进口商应当根据国家统一规定的水效标识样式（基本样式见附件）、规格以及标注规定，印制和使用水效标识。</w:t>
            </w:r>
          </w:p>
          <w:p w14:paraId="3A0B385C">
            <w:pPr>
              <w:tabs>
                <w:tab w:val="left" w:pos="821"/>
              </w:tabs>
              <w:overflowPunct w:val="0"/>
              <w:adjustRightInd w:val="0"/>
              <w:snapToGrid w:val="0"/>
              <w:jc w:val="left"/>
              <w:rPr>
                <w:color w:val="000000"/>
                <w:spacing w:val="-4"/>
                <w:kern w:val="0"/>
                <w:szCs w:val="21"/>
              </w:rPr>
            </w:pPr>
            <w:r>
              <w:rPr>
                <w:rFonts w:hint="eastAsia"/>
                <w:color w:val="000000"/>
                <w:spacing w:val="-4"/>
                <w:kern w:val="0"/>
                <w:szCs w:val="21"/>
              </w:rPr>
              <w:t>在产品包装物、说明书、广告宣传以及网络商品交易产品信息展示主页面中使用的水效标识，可按比例放大或者缩小，并清晰可辨。</w:t>
            </w:r>
          </w:p>
          <w:p w14:paraId="027BD0BC">
            <w:pPr>
              <w:tabs>
                <w:tab w:val="left" w:pos="821"/>
              </w:tabs>
              <w:overflowPunct w:val="0"/>
              <w:adjustRightInd w:val="0"/>
              <w:snapToGrid w:val="0"/>
              <w:jc w:val="left"/>
              <w:rPr>
                <w:rFonts w:hint="eastAsia"/>
                <w:color w:val="000000"/>
                <w:spacing w:val="-4"/>
                <w:kern w:val="0"/>
                <w:szCs w:val="21"/>
              </w:rPr>
            </w:pPr>
            <w:r>
              <w:rPr>
                <w:rFonts w:hint="eastAsia"/>
                <w:color w:val="000000"/>
                <w:spacing w:val="-4"/>
                <w:kern w:val="0"/>
                <w:szCs w:val="21"/>
              </w:rPr>
              <w:t>第二十八条 违反本办法规定，销售者（含网络商品经营者）有下列情形之一的，予以通报，并处一万元以上三万元以下罚款：</w:t>
            </w:r>
          </w:p>
          <w:p w14:paraId="0E629F58">
            <w:pPr>
              <w:tabs>
                <w:tab w:val="left" w:pos="821"/>
              </w:tabs>
              <w:overflowPunct w:val="0"/>
              <w:adjustRightInd w:val="0"/>
              <w:snapToGrid w:val="0"/>
              <w:jc w:val="left"/>
              <w:rPr>
                <w:color w:val="000000"/>
                <w:spacing w:val="-4"/>
                <w:kern w:val="0"/>
                <w:szCs w:val="21"/>
              </w:rPr>
            </w:pPr>
            <w:r>
              <w:rPr>
                <w:rFonts w:hint="eastAsia"/>
                <w:color w:val="000000"/>
                <w:spacing w:val="-4"/>
                <w:kern w:val="0"/>
                <w:szCs w:val="21"/>
              </w:rPr>
              <w:t>（一）销售应当标注但未标注水效标识的产品的；</w:t>
            </w:r>
          </w:p>
          <w:p w14:paraId="045F4F2C">
            <w:pPr>
              <w:tabs>
                <w:tab w:val="left" w:pos="821"/>
              </w:tabs>
              <w:overflowPunct w:val="0"/>
              <w:adjustRightInd w:val="0"/>
              <w:snapToGrid w:val="0"/>
              <w:jc w:val="left"/>
              <w:rPr>
                <w:color w:val="000000"/>
                <w:spacing w:val="-4"/>
                <w:kern w:val="0"/>
                <w:szCs w:val="21"/>
              </w:rPr>
            </w:pPr>
            <w:r>
              <w:rPr>
                <w:rFonts w:hint="eastAsia"/>
                <w:color w:val="000000"/>
                <w:spacing w:val="-4"/>
                <w:kern w:val="0"/>
                <w:szCs w:val="21"/>
              </w:rPr>
              <w:t>（二）销售使用不符合规定的水效标识的产品的；</w:t>
            </w:r>
          </w:p>
          <w:p w14:paraId="7AD2D0FE">
            <w:pPr>
              <w:tabs>
                <w:tab w:val="left" w:pos="821"/>
              </w:tabs>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（三）在网络交易产品信息主页面展示的水效标识不符合规定的。</w:t>
            </w:r>
          </w:p>
        </w:tc>
        <w:tc>
          <w:tcPr>
            <w:tcW w:w="2017" w:type="dxa"/>
            <w:shd w:val="clear" w:color="auto" w:fill="auto"/>
            <w:noWrap w:val="0"/>
            <w:vAlign w:val="center"/>
          </w:tcPr>
          <w:p w14:paraId="78FAF16D">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14FA44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noWrap w:val="0"/>
            <w:vAlign w:val="center"/>
          </w:tcPr>
          <w:p w14:paraId="71E2ECB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70</w:t>
            </w:r>
          </w:p>
        </w:tc>
        <w:tc>
          <w:tcPr>
            <w:tcW w:w="3112" w:type="dxa"/>
            <w:shd w:val="clear" w:color="auto" w:fill="auto"/>
            <w:noWrap w:val="0"/>
            <w:vAlign w:val="center"/>
          </w:tcPr>
          <w:p w14:paraId="478B1AF6">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集贸市场入场经营者未对配置和使用的计量器具进行维护和管理</w:t>
            </w:r>
          </w:p>
        </w:tc>
        <w:tc>
          <w:tcPr>
            <w:tcW w:w="2693" w:type="dxa"/>
            <w:shd w:val="clear" w:color="auto" w:fill="auto"/>
            <w:noWrap w:val="0"/>
            <w:vAlign w:val="center"/>
          </w:tcPr>
          <w:p w14:paraId="7807747B">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w:t>
            </w:r>
          </w:p>
          <w:p w14:paraId="28937655">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1.初次违法；</w:t>
            </w:r>
          </w:p>
          <w:p w14:paraId="5C90EB2F">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2.及时改正；</w:t>
            </w:r>
          </w:p>
          <w:p w14:paraId="09A4A7D4">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3.危害后果轻微。</w:t>
            </w:r>
          </w:p>
        </w:tc>
        <w:tc>
          <w:tcPr>
            <w:tcW w:w="5812" w:type="dxa"/>
            <w:shd w:val="clear" w:color="auto" w:fill="auto"/>
            <w:noWrap w:val="0"/>
            <w:vAlign w:val="center"/>
          </w:tcPr>
          <w:p w14:paraId="74686151">
            <w:pPr>
              <w:overflowPunct w:val="0"/>
              <w:adjustRightInd w:val="0"/>
              <w:snapToGrid w:val="0"/>
              <w:jc w:val="center"/>
              <w:textAlignment w:val="center"/>
              <w:rPr>
                <w:rFonts w:hint="eastAsia"/>
                <w:color w:val="000000"/>
                <w:spacing w:val="-4"/>
                <w:kern w:val="0"/>
                <w:szCs w:val="21"/>
              </w:rPr>
            </w:pPr>
            <w:r>
              <w:rPr>
                <w:rFonts w:hint="eastAsia"/>
                <w:color w:val="000000"/>
                <w:spacing w:val="-4"/>
                <w:kern w:val="0"/>
                <w:szCs w:val="21"/>
              </w:rPr>
              <w:t>《集贸市场计量监督管理办法》第六条第二项　经营者应当做到：（二）对配置和使用的计量器具进行维护和管理，定期接受市场监督管理部门指定的法定计量检定机构对计量器具的强制检定。</w:t>
            </w:r>
          </w:p>
          <w:p w14:paraId="7A84FCD3">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《集贸市场计量监督管理办法》第十二条第一款  经营者违反本办法第六条第（二）项规定的，责令其停止使用，可并处以1000元以下的罚款。</w:t>
            </w:r>
          </w:p>
        </w:tc>
        <w:tc>
          <w:tcPr>
            <w:tcW w:w="2017" w:type="dxa"/>
            <w:shd w:val="clear" w:color="auto" w:fill="auto"/>
            <w:noWrap w:val="0"/>
            <w:vAlign w:val="center"/>
          </w:tcPr>
          <w:p w14:paraId="670997D4">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4BFFBF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 w:hRule="atLeast"/>
        </w:trPr>
        <w:tc>
          <w:tcPr>
            <w:tcW w:w="432" w:type="dxa"/>
            <w:noWrap w:val="0"/>
            <w:vAlign w:val="center"/>
          </w:tcPr>
          <w:p w14:paraId="3704FBA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71</w:t>
            </w:r>
          </w:p>
        </w:tc>
        <w:tc>
          <w:tcPr>
            <w:tcW w:w="3112" w:type="dxa"/>
            <w:shd w:val="clear" w:color="auto" w:fill="auto"/>
            <w:noWrap w:val="0"/>
            <w:vAlign w:val="center"/>
          </w:tcPr>
          <w:p w14:paraId="26471A59">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集市主办者未按规定对集市使用的属于强制检定的计量器具登记造册和备案，并配合市场监督管理部门及其指定的法定计量检定机构做好强制检定工作</w:t>
            </w:r>
          </w:p>
        </w:tc>
        <w:tc>
          <w:tcPr>
            <w:tcW w:w="2693" w:type="dxa"/>
            <w:shd w:val="clear" w:color="auto" w:fill="auto"/>
            <w:noWrap w:val="0"/>
            <w:vAlign w:val="center"/>
          </w:tcPr>
          <w:p w14:paraId="7F4F0411">
            <w:pPr>
              <w:overflowPunct w:val="0"/>
              <w:adjustRightInd w:val="0"/>
              <w:snapToGrid w:val="0"/>
              <w:jc w:val="center"/>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责令限期改正后及时改正的</w:t>
            </w:r>
          </w:p>
        </w:tc>
        <w:tc>
          <w:tcPr>
            <w:tcW w:w="5812" w:type="dxa"/>
            <w:shd w:val="clear" w:color="auto" w:fill="auto"/>
            <w:noWrap w:val="0"/>
            <w:vAlign w:val="center"/>
          </w:tcPr>
          <w:p w14:paraId="17A29A1D">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《集贸市场计量监督管理办法》第五条 集市主办者应当做到：（四）对集市使用的属于强制检定的计量器具登记造册，向当地质量技术监督部门备案，并配合质量技术监督部门及其指定的法定计量检定机构做好强制检定工作。</w:t>
            </w:r>
          </w:p>
          <w:p w14:paraId="1FB98B71">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《集贸市场计量监督管理办法》第十一条  集市主办者违反本办法第五条第（四）项规定的，责令改正，逾期不改的，处以1000元以下的罚款。</w:t>
            </w:r>
          </w:p>
        </w:tc>
        <w:tc>
          <w:tcPr>
            <w:tcW w:w="2017" w:type="dxa"/>
            <w:shd w:val="clear" w:color="auto" w:fill="auto"/>
            <w:noWrap w:val="0"/>
            <w:vAlign w:val="center"/>
          </w:tcPr>
          <w:p w14:paraId="1553B2A6">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5BE57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84" w:hRule="atLeast"/>
        </w:trPr>
        <w:tc>
          <w:tcPr>
            <w:tcW w:w="432" w:type="dxa"/>
            <w:noWrap w:val="0"/>
            <w:vAlign w:val="center"/>
          </w:tcPr>
          <w:p w14:paraId="238A213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72</w:t>
            </w:r>
          </w:p>
        </w:tc>
        <w:tc>
          <w:tcPr>
            <w:tcW w:w="3112" w:type="dxa"/>
            <w:shd w:val="clear" w:color="auto" w:fill="auto"/>
            <w:noWrap w:val="0"/>
            <w:vAlign w:val="center"/>
          </w:tcPr>
          <w:p w14:paraId="443F3E29">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取得生产许可证的企业名称发生变化，未依照规定办理变更手续</w:t>
            </w:r>
          </w:p>
        </w:tc>
        <w:tc>
          <w:tcPr>
            <w:tcW w:w="2693" w:type="dxa"/>
            <w:shd w:val="clear" w:color="auto" w:fill="auto"/>
            <w:noWrap w:val="0"/>
            <w:vAlign w:val="center"/>
          </w:tcPr>
          <w:p w14:paraId="19A4AACB">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责令限期办理相关手续后及时办理的</w:t>
            </w:r>
          </w:p>
        </w:tc>
        <w:tc>
          <w:tcPr>
            <w:tcW w:w="5812" w:type="dxa"/>
            <w:shd w:val="clear" w:color="auto" w:fill="auto"/>
            <w:noWrap w:val="0"/>
            <w:vAlign w:val="center"/>
          </w:tcPr>
          <w:p w14:paraId="642F04C8">
            <w:pPr>
              <w:shd w:val="clear" w:color="auto" w:fill="FFFFFF"/>
              <w:overflowPunct w:val="0"/>
              <w:adjustRightInd w:val="0"/>
              <w:snapToGrid w:val="0"/>
              <w:jc w:val="left"/>
              <w:rPr>
                <w:color w:val="000000"/>
                <w:spacing w:val="-4"/>
                <w:kern w:val="0"/>
                <w:szCs w:val="21"/>
              </w:rPr>
            </w:pPr>
            <w:r>
              <w:rPr>
                <w:rFonts w:hint="eastAsia"/>
                <w:color w:val="000000"/>
                <w:spacing w:val="-4"/>
                <w:kern w:val="0"/>
                <w:szCs w:val="21"/>
              </w:rPr>
              <w:t>《工业产品生产许可证管理条例》第二十九条　企业名称发生变化的，企业应当及时向企业所在地的省、自治区、直辖市工业产品生产许可证主管部门提出申请，办理变更手续。</w:t>
            </w:r>
          </w:p>
          <w:p w14:paraId="2B4AEB52">
            <w:pPr>
              <w:shd w:val="clear" w:color="auto" w:fill="FFFFFF"/>
              <w:overflowPunct w:val="0"/>
              <w:adjustRightInd w:val="0"/>
              <w:snapToGrid w:val="0"/>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第四十六条第二款 取得生产许可证的企业名称发生变化，未依照本条例规定办理变更手续的，责令限期办理相关手续；逾期仍未办理的，责令停止生产、销售，没收违法生产、销售的产品，并处违法生产、销售产品货值金额等值以下的罚款；有违法所得的，没收违法所得。</w:t>
            </w:r>
          </w:p>
        </w:tc>
        <w:tc>
          <w:tcPr>
            <w:tcW w:w="2017" w:type="dxa"/>
            <w:shd w:val="clear" w:color="auto" w:fill="auto"/>
            <w:noWrap w:val="0"/>
            <w:vAlign w:val="center"/>
          </w:tcPr>
          <w:p w14:paraId="1EA18D8F">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1D2260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84" w:hRule="atLeast"/>
        </w:trPr>
        <w:tc>
          <w:tcPr>
            <w:tcW w:w="432" w:type="dxa"/>
            <w:noWrap w:val="0"/>
            <w:vAlign w:val="center"/>
          </w:tcPr>
          <w:p w14:paraId="476E638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73</w:t>
            </w:r>
          </w:p>
        </w:tc>
        <w:tc>
          <w:tcPr>
            <w:tcW w:w="3112" w:type="dxa"/>
            <w:shd w:val="clear" w:color="auto" w:fill="auto"/>
            <w:noWrap w:val="0"/>
            <w:vAlign w:val="center"/>
          </w:tcPr>
          <w:p w14:paraId="34E70CD2">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取得生产许可证的企业未依照规定在产品、包装或说明书上标注生产许可证标志和编号</w:t>
            </w:r>
          </w:p>
        </w:tc>
        <w:tc>
          <w:tcPr>
            <w:tcW w:w="2693" w:type="dxa"/>
            <w:shd w:val="clear" w:color="auto" w:fill="auto"/>
            <w:noWrap w:val="0"/>
            <w:vAlign w:val="center"/>
          </w:tcPr>
          <w:p w14:paraId="74880D1A">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责令限期改正后及时改正</w:t>
            </w:r>
          </w:p>
        </w:tc>
        <w:tc>
          <w:tcPr>
            <w:tcW w:w="5812" w:type="dxa"/>
            <w:shd w:val="clear" w:color="auto" w:fill="auto"/>
            <w:noWrap w:val="0"/>
            <w:vAlign w:val="center"/>
          </w:tcPr>
          <w:p w14:paraId="5490FB86">
            <w:pPr>
              <w:shd w:val="clear" w:color="auto" w:fill="FFFFFF"/>
              <w:overflowPunct w:val="0"/>
              <w:adjustRightInd w:val="0"/>
              <w:snapToGrid w:val="0"/>
              <w:rPr>
                <w:rFonts w:hint="eastAsia"/>
                <w:color w:val="000000"/>
                <w:spacing w:val="-4"/>
                <w:kern w:val="0"/>
                <w:szCs w:val="21"/>
              </w:rPr>
            </w:pPr>
            <w:r>
              <w:rPr>
                <w:rFonts w:hint="eastAsia"/>
                <w:color w:val="000000"/>
                <w:spacing w:val="-4"/>
                <w:kern w:val="0"/>
                <w:szCs w:val="21"/>
              </w:rPr>
              <w:t>《工业产品生产许可证管理条例》第三十三条　企业必须在其产品或者包装、说明书上标注生产许可证标志和编号。</w:t>
            </w:r>
          </w:p>
          <w:p w14:paraId="539EDBD9">
            <w:pPr>
              <w:shd w:val="clear" w:color="auto" w:fill="FFFFFF"/>
              <w:overflowPunct w:val="0"/>
              <w:adjustRightInd w:val="0"/>
              <w:snapToGrid w:val="0"/>
              <w:jc w:val="left"/>
              <w:rPr>
                <w:rFonts w:hint="eastAsia"/>
                <w:color w:val="000000"/>
                <w:spacing w:val="-4"/>
                <w:kern w:val="0"/>
                <w:szCs w:val="21"/>
              </w:rPr>
            </w:pPr>
            <w:r>
              <w:rPr>
                <w:rFonts w:hint="eastAsia"/>
                <w:color w:val="000000"/>
                <w:spacing w:val="-4"/>
                <w:kern w:val="0"/>
                <w:szCs w:val="21"/>
              </w:rPr>
              <w:t>裸装食品和其他根据产品的特点难以标注标志的裸装产品，可以不标注生产许可证标志和编号。</w:t>
            </w:r>
          </w:p>
          <w:p w14:paraId="2756364B">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第四十七条 取得生产许可证的企业未依照本条例规定在产品、包装或者说明书上标注生产许可证标志和编号的，责令限期改正；逾期仍未改正的，处违法生产、销售产品货值金额30%以下的罚款；有违法所得的，没收违法所得；情节严重的，吊销生产许可证。</w:t>
            </w:r>
          </w:p>
        </w:tc>
        <w:tc>
          <w:tcPr>
            <w:tcW w:w="2017" w:type="dxa"/>
            <w:shd w:val="clear" w:color="auto" w:fill="auto"/>
            <w:noWrap w:val="0"/>
            <w:vAlign w:val="center"/>
          </w:tcPr>
          <w:p w14:paraId="004B3EC0">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4A01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84" w:hRule="atLeast"/>
        </w:trPr>
        <w:tc>
          <w:tcPr>
            <w:tcW w:w="432" w:type="dxa"/>
            <w:noWrap w:val="0"/>
            <w:vAlign w:val="center"/>
          </w:tcPr>
          <w:p w14:paraId="4F3DC47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74</w:t>
            </w:r>
          </w:p>
        </w:tc>
        <w:tc>
          <w:tcPr>
            <w:tcW w:w="3112" w:type="dxa"/>
            <w:shd w:val="clear" w:color="auto" w:fill="auto"/>
            <w:noWrap w:val="0"/>
            <w:vAlign w:val="center"/>
          </w:tcPr>
          <w:p w14:paraId="69ACF8F7">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取得生产许可证的企业未在规定期限内向省、自治区、直辖市工业产品生产许可证主管部门提交报告的</w:t>
            </w:r>
          </w:p>
        </w:tc>
        <w:tc>
          <w:tcPr>
            <w:tcW w:w="2693" w:type="dxa"/>
            <w:shd w:val="clear" w:color="auto" w:fill="auto"/>
            <w:noWrap w:val="0"/>
            <w:vAlign w:val="center"/>
          </w:tcPr>
          <w:p w14:paraId="06CC08FE">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责令限期改正后及时改正的</w:t>
            </w:r>
          </w:p>
        </w:tc>
        <w:tc>
          <w:tcPr>
            <w:tcW w:w="5812" w:type="dxa"/>
            <w:shd w:val="clear" w:color="auto" w:fill="auto"/>
            <w:noWrap w:val="0"/>
            <w:vAlign w:val="center"/>
          </w:tcPr>
          <w:p w14:paraId="616E0243">
            <w:pPr>
              <w:overflowPunct w:val="0"/>
              <w:adjustRightInd w:val="0"/>
              <w:snapToGrid w:val="0"/>
              <w:textAlignment w:val="center"/>
              <w:rPr>
                <w:color w:val="000000"/>
                <w:spacing w:val="-4"/>
                <w:kern w:val="0"/>
                <w:szCs w:val="21"/>
              </w:rPr>
            </w:pPr>
            <w:r>
              <w:rPr>
                <w:rFonts w:hint="eastAsia"/>
                <w:color w:val="000000"/>
                <w:spacing w:val="-4"/>
                <w:kern w:val="0"/>
                <w:szCs w:val="21"/>
              </w:rPr>
              <w:t>《工业产品生产许可证管理条例》第三十八条　企业应当保证产品质量稳定合格，并定期向省、自治区、直辖市工业产品生产许可证主管部门提交报告。企业对报告的真实性负责。</w:t>
            </w:r>
          </w:p>
          <w:p w14:paraId="46BF71F7">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第五十三条 取得生产许可证的企业未依照本条例规定定期向省、自治区、直辖市工业产品生产许可证主管部门提交报告的，由省、自治区、直辖市工业产品生产许可证主管部门责令限期改正；逾期未改正的，处5000元以下的罚款。</w:t>
            </w:r>
          </w:p>
        </w:tc>
        <w:tc>
          <w:tcPr>
            <w:tcW w:w="2017" w:type="dxa"/>
            <w:shd w:val="clear" w:color="auto" w:fill="auto"/>
            <w:noWrap w:val="0"/>
            <w:vAlign w:val="center"/>
          </w:tcPr>
          <w:p w14:paraId="2C889F0D">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647EE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59" w:hRule="atLeast"/>
        </w:trPr>
        <w:tc>
          <w:tcPr>
            <w:tcW w:w="432" w:type="dxa"/>
            <w:noWrap w:val="0"/>
            <w:vAlign w:val="center"/>
          </w:tcPr>
          <w:p w14:paraId="787F24D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75</w:t>
            </w:r>
          </w:p>
        </w:tc>
        <w:tc>
          <w:tcPr>
            <w:tcW w:w="3112" w:type="dxa"/>
            <w:shd w:val="clear" w:color="auto" w:fill="auto"/>
            <w:noWrap w:val="0"/>
            <w:vAlign w:val="center"/>
          </w:tcPr>
          <w:p w14:paraId="25727E0B">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在工业产品生产许可证有效期内，企业有关事项发生变化未及时提出变更申请</w:t>
            </w:r>
          </w:p>
        </w:tc>
        <w:tc>
          <w:tcPr>
            <w:tcW w:w="2693" w:type="dxa"/>
            <w:shd w:val="clear" w:color="auto" w:fill="auto"/>
            <w:noWrap w:val="0"/>
            <w:vAlign w:val="center"/>
          </w:tcPr>
          <w:p w14:paraId="45BEC213">
            <w:pPr>
              <w:rPr>
                <w:rFonts w:hint="eastAsia"/>
                <w:color w:val="000000"/>
                <w:spacing w:val="-4"/>
                <w:kern w:val="0"/>
                <w:szCs w:val="21"/>
              </w:rPr>
            </w:pPr>
            <w:r>
              <w:rPr>
                <w:rFonts w:hint="eastAsia"/>
                <w:color w:val="000000"/>
                <w:spacing w:val="-4"/>
                <w:kern w:val="0"/>
                <w:szCs w:val="21"/>
              </w:rPr>
              <w:t>同时具备以下条件：</w:t>
            </w:r>
          </w:p>
          <w:p w14:paraId="4D03B859">
            <w:pPr>
              <w:rPr>
                <w:rFonts w:hint="eastAsia"/>
                <w:color w:val="000000"/>
                <w:spacing w:val="-4"/>
                <w:kern w:val="0"/>
                <w:szCs w:val="21"/>
              </w:rPr>
            </w:pPr>
            <w:r>
              <w:rPr>
                <w:rFonts w:hint="eastAsia"/>
                <w:color w:val="000000"/>
                <w:spacing w:val="-4"/>
                <w:kern w:val="0"/>
                <w:szCs w:val="21"/>
              </w:rPr>
              <w:t>1.初次违法；</w:t>
            </w:r>
          </w:p>
          <w:p w14:paraId="2D61190D">
            <w:pPr>
              <w:rPr>
                <w:rFonts w:hint="eastAsia"/>
                <w:color w:val="000000"/>
                <w:spacing w:val="-4"/>
                <w:kern w:val="0"/>
                <w:szCs w:val="21"/>
              </w:rPr>
            </w:pPr>
            <w:r>
              <w:rPr>
                <w:rFonts w:hint="eastAsia"/>
                <w:color w:val="000000"/>
                <w:spacing w:val="-4"/>
                <w:kern w:val="0"/>
                <w:szCs w:val="21"/>
              </w:rPr>
              <w:t>2.未办理变更期间生产经营的产品质量符合要求；</w:t>
            </w:r>
          </w:p>
          <w:p w14:paraId="434BF656">
            <w:pPr>
              <w:rPr>
                <w:color w:val="000000"/>
              </w:rPr>
            </w:pPr>
            <w:r>
              <w:rPr>
                <w:rFonts w:hint="eastAsia"/>
                <w:color w:val="000000"/>
                <w:spacing w:val="-4"/>
                <w:kern w:val="0"/>
                <w:szCs w:val="21"/>
              </w:rPr>
              <w:t>3.及时改正。</w:t>
            </w:r>
          </w:p>
          <w:p w14:paraId="27AF0525">
            <w:pPr>
              <w:overflowPunct w:val="0"/>
              <w:adjustRightInd w:val="0"/>
              <w:snapToGrid w:val="0"/>
              <w:jc w:val="center"/>
              <w:textAlignment w:val="center"/>
              <w:rPr>
                <w:rFonts w:hint="eastAsia" w:asciiTheme="minorHAnsi" w:hAnsiTheme="minorHAnsi" w:eastAsiaTheme="minorEastAsia" w:cstheme="minorBidi"/>
                <w:color w:val="000000"/>
                <w:spacing w:val="-4"/>
                <w:kern w:val="0"/>
                <w:sz w:val="21"/>
                <w:szCs w:val="21"/>
                <w:lang w:val="en-US" w:eastAsia="zh-CN" w:bidi="ar-SA"/>
              </w:rPr>
            </w:pPr>
          </w:p>
        </w:tc>
        <w:tc>
          <w:tcPr>
            <w:tcW w:w="5812" w:type="dxa"/>
            <w:shd w:val="clear" w:color="auto" w:fill="auto"/>
            <w:noWrap w:val="0"/>
            <w:vAlign w:val="center"/>
          </w:tcPr>
          <w:p w14:paraId="0B158CC4">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《工业产品生产许可证管理条例实施办法》第三十条  在生产许可证有效期内，企业名称、住所或者生产地址名称发生变化而企业生产条件、检验手段、生产技术或者工艺未发生变化的，企业应当自变化事项发生后1个月内向企业所在地省级质量技术监督局提出变更申请。变更后的生产许可证有效期不变。</w:t>
            </w:r>
          </w:p>
          <w:p w14:paraId="43181DAB">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《工业产品生产许可证管理条例实施办法》第四十九条 违反本办法第三十条规定的，企业未在规定期限内提出变更申请的，责令改正，处2万元以下罚款；构成有关法律、行政法规规定的违法行为的，按照有关法律、行政法规的规定实施行政处罚。</w:t>
            </w:r>
          </w:p>
        </w:tc>
        <w:tc>
          <w:tcPr>
            <w:tcW w:w="2017" w:type="dxa"/>
            <w:shd w:val="clear" w:color="auto" w:fill="auto"/>
            <w:noWrap w:val="0"/>
            <w:vAlign w:val="center"/>
          </w:tcPr>
          <w:p w14:paraId="1B705F0E">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69B2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608" w:hRule="atLeast"/>
        </w:trPr>
        <w:tc>
          <w:tcPr>
            <w:tcW w:w="432" w:type="dxa"/>
            <w:shd w:val="clear" w:color="auto" w:fill="FFFFFF"/>
            <w:noWrap w:val="0"/>
            <w:vAlign w:val="center"/>
          </w:tcPr>
          <w:p w14:paraId="620CBAA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76</w:t>
            </w:r>
          </w:p>
        </w:tc>
        <w:tc>
          <w:tcPr>
            <w:tcW w:w="3112" w:type="dxa"/>
            <w:shd w:val="clear" w:color="auto" w:fill="auto"/>
            <w:noWrap w:val="0"/>
            <w:vAlign w:val="center"/>
          </w:tcPr>
          <w:p w14:paraId="4E11A993">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采取委托方式加工生产列入目录产品的，企业因疏忽未在产品、包装或说明书上标注委托企业的名称、住所，以及被委托企业的名称、住所、生产许可证标志和编号或标注不全</w:t>
            </w:r>
          </w:p>
        </w:tc>
        <w:tc>
          <w:tcPr>
            <w:tcW w:w="2693" w:type="dxa"/>
            <w:shd w:val="clear" w:color="auto" w:fill="auto"/>
            <w:noWrap w:val="0"/>
            <w:vAlign w:val="center"/>
          </w:tcPr>
          <w:p w14:paraId="2C711E2B">
            <w:pPr>
              <w:rPr>
                <w:rFonts w:hint="eastAsia"/>
                <w:color w:val="000000"/>
                <w:spacing w:val="-4"/>
                <w:kern w:val="0"/>
                <w:szCs w:val="21"/>
              </w:rPr>
            </w:pPr>
            <w:r>
              <w:rPr>
                <w:rFonts w:hint="eastAsia"/>
                <w:color w:val="000000"/>
                <w:spacing w:val="-4"/>
                <w:kern w:val="0"/>
                <w:szCs w:val="21"/>
              </w:rPr>
              <w:t>同时具备以下条件：</w:t>
            </w:r>
          </w:p>
          <w:p w14:paraId="2AD50CD1">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1.首次实施此类违法行为；2.被委托企业取得该产品生产许可证；</w:t>
            </w:r>
          </w:p>
          <w:p w14:paraId="1087BC70">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3.双方存在真实有效的委托关系；</w:t>
            </w:r>
          </w:p>
          <w:p w14:paraId="3345A182">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4.及时纠正。</w:t>
            </w:r>
          </w:p>
        </w:tc>
        <w:tc>
          <w:tcPr>
            <w:tcW w:w="5812" w:type="dxa"/>
            <w:shd w:val="clear" w:color="auto" w:fill="auto"/>
            <w:noWrap w:val="0"/>
            <w:vAlign w:val="center"/>
          </w:tcPr>
          <w:p w14:paraId="3F2295FC">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《工业产品生产许可证管理条例实施办法》第四十条第二款 采取委托方式加工生产列入目录产品的，企业应当在产品或者其包装、说明书上标注委托企业的名称、住所，以及被委托企业的名称、住所、生产许可证标志和编号。委托企业具有其委托加工的产品生产许可证的，还应当标注委托企业的生产许可证标志和编号。</w:t>
            </w:r>
          </w:p>
          <w:p w14:paraId="01A382F9">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《工业产品生产许可证管理条例实施办法》第五十条 违反本办法第四十条规定，企业未按照规定要求进行标注的，责令改正，处3万元以下罚款；构成有关法律、行政法规规定的违法行为的，按照有关法律、行政法规的规定实施行政处罚。</w:t>
            </w:r>
          </w:p>
        </w:tc>
        <w:tc>
          <w:tcPr>
            <w:tcW w:w="2017" w:type="dxa"/>
            <w:shd w:val="clear" w:color="auto" w:fill="auto"/>
            <w:noWrap w:val="0"/>
            <w:vAlign w:val="center"/>
          </w:tcPr>
          <w:p w14:paraId="1D1DF6A4">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C2BC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18" w:hRule="atLeast"/>
        </w:trPr>
        <w:tc>
          <w:tcPr>
            <w:tcW w:w="432" w:type="dxa"/>
            <w:shd w:val="clear" w:color="auto" w:fill="FFFFFF"/>
            <w:noWrap w:val="0"/>
            <w:vAlign w:val="center"/>
          </w:tcPr>
          <w:p w14:paraId="59860FE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77</w:t>
            </w:r>
          </w:p>
        </w:tc>
        <w:tc>
          <w:tcPr>
            <w:tcW w:w="3112" w:type="dxa"/>
            <w:shd w:val="clear" w:color="auto" w:fill="auto"/>
            <w:noWrap w:val="0"/>
            <w:vAlign w:val="center"/>
          </w:tcPr>
          <w:p w14:paraId="6DC06120">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未经批准进口少量境外已合法上市的药品</w:t>
            </w:r>
          </w:p>
        </w:tc>
        <w:tc>
          <w:tcPr>
            <w:tcW w:w="2693" w:type="dxa"/>
            <w:shd w:val="clear" w:color="auto" w:fill="auto"/>
            <w:noWrap w:val="0"/>
            <w:vAlign w:val="center"/>
          </w:tcPr>
          <w:p w14:paraId="04A6A047">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同时具备以下条件：</w:t>
            </w:r>
          </w:p>
          <w:p w14:paraId="363DBD86">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1.初次违法；</w:t>
            </w:r>
          </w:p>
          <w:p w14:paraId="20C6EAF2">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2.货值金额较小；</w:t>
            </w:r>
          </w:p>
          <w:p w14:paraId="44584C69">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3.及时改正；</w:t>
            </w:r>
          </w:p>
          <w:p w14:paraId="2823F994">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4.用于治疗重大疾病，且国内没有替代药品；</w:t>
            </w:r>
          </w:p>
          <w:p w14:paraId="5B57D814">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5.药品系国外已合法上市药品。</w:t>
            </w:r>
          </w:p>
        </w:tc>
        <w:tc>
          <w:tcPr>
            <w:tcW w:w="5812" w:type="dxa"/>
            <w:shd w:val="clear" w:color="auto" w:fill="auto"/>
            <w:noWrap w:val="0"/>
            <w:vAlign w:val="center"/>
          </w:tcPr>
          <w:p w14:paraId="7BBCF28D">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《药品管理法》第九十八条第三款 禁止未取得药品批准证明文件生产、进口药品；禁止使用未按照规定审评、审批的原料药、包装材料和容器生产药品。</w:t>
            </w:r>
          </w:p>
          <w:p w14:paraId="79D2DE18">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《药品管理法》第一百二十四条　违反本法规定，有下列行为之一的，没收违法生产、进口、销售的药品和违法所得以及专门用于违法生产的原料、辅料、包装材料和生产设备，责令停产停业整顿，并处违法生产、进口、销售的药品货值金额十五倍以上三十倍以下的罚款；货值金额不足十万元的，按十万元计算；情节严重的，吊销药品批准证明文件直至吊销药品生产许可证、药品经营许可证或者医疗机构制剂许可证，对法定代表人、主要负责人、直接负责的主管人员和其他责任人员，没收违法行为发生期间自本单位所获收入，并处所获收入百分之三十以上三倍以下的罚款，十年直至终身禁止从事药品生产经营活动，并可以由公安机关处五日以上十五日以下的拘留：（一）未取得药品批准证明文件生产、进口药品；（二）使用采取欺骗手段取得的药品批准证明文件生产、进口药品；（三）使用未经审评审批的原料药生产药品；（四）应当检验而未经检验即销售药品；（五）生产、销售国务院药品监督管理部门禁止使用的药品；（六）编造生产、检验记录；（七）未经批准在药品生产过程中进行重大变更。　　销售前款第一项至第三项规定的药品，或者药品使用单位使用前款第一项至第五项规定的药品的，依照前款规定处罚；情节严重的，药品使用单位的法定代表人、主要负责人、直接负责的主管人员和其他责任人员有医疗卫生人员执业证书的，还应当吊销执业证书。</w:t>
            </w:r>
            <w:r>
              <w:rPr>
                <w:rFonts w:hint="eastAsia"/>
                <w:color w:val="000000"/>
                <w:spacing w:val="-4"/>
                <w:kern w:val="0"/>
                <w:szCs w:val="21"/>
              </w:rPr>
              <w:br w:type="textWrapping"/>
            </w:r>
            <w:r>
              <w:rPr>
                <w:rFonts w:hint="eastAsia"/>
                <w:color w:val="000000"/>
                <w:spacing w:val="-4"/>
                <w:kern w:val="0"/>
                <w:szCs w:val="21"/>
              </w:rPr>
              <w:t>　　未经批准进口少量境外已合法上市的药品，情节较轻的，可以依法减轻或者免予处罚。</w:t>
            </w:r>
          </w:p>
        </w:tc>
        <w:tc>
          <w:tcPr>
            <w:tcW w:w="2017" w:type="dxa"/>
            <w:shd w:val="clear" w:color="auto" w:fill="auto"/>
            <w:noWrap w:val="0"/>
            <w:vAlign w:val="center"/>
          </w:tcPr>
          <w:p w14:paraId="6E68CE32">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5C44E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75" w:hRule="atLeast"/>
        </w:trPr>
        <w:tc>
          <w:tcPr>
            <w:tcW w:w="432" w:type="dxa"/>
            <w:noWrap w:val="0"/>
            <w:vAlign w:val="center"/>
          </w:tcPr>
          <w:p w14:paraId="6590352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78</w:t>
            </w:r>
          </w:p>
        </w:tc>
        <w:tc>
          <w:tcPr>
            <w:tcW w:w="3112" w:type="dxa"/>
            <w:shd w:val="clear" w:color="auto" w:fill="auto"/>
            <w:noWrap w:val="0"/>
            <w:vAlign w:val="center"/>
          </w:tcPr>
          <w:p w14:paraId="3D12B946">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认证机构增加、减少、遗漏程序要求</w:t>
            </w:r>
          </w:p>
        </w:tc>
        <w:tc>
          <w:tcPr>
            <w:tcW w:w="2693" w:type="dxa"/>
            <w:shd w:val="clear" w:color="auto" w:fill="auto"/>
            <w:noWrap w:val="0"/>
            <w:vAlign w:val="center"/>
          </w:tcPr>
          <w:p w14:paraId="78CCD409">
            <w:pPr>
              <w:rPr>
                <w:rFonts w:hint="eastAsia"/>
                <w:color w:val="000000"/>
                <w:spacing w:val="-4"/>
                <w:kern w:val="0"/>
                <w:szCs w:val="21"/>
              </w:rPr>
            </w:pPr>
            <w:r>
              <w:rPr>
                <w:rFonts w:hint="eastAsia"/>
                <w:color w:val="000000"/>
                <w:spacing w:val="-4"/>
                <w:kern w:val="0"/>
                <w:szCs w:val="21"/>
              </w:rPr>
              <w:t>同时具备以下条件：</w:t>
            </w:r>
          </w:p>
          <w:p w14:paraId="3B128644">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1.情节轻微且不影响认证结论的客观、真实或者认证有效性；</w:t>
            </w:r>
          </w:p>
          <w:p w14:paraId="47922B88">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2.责令限期改正后及时改正；</w:t>
            </w:r>
          </w:p>
          <w:p w14:paraId="5C2733E7">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3.没有造成危害后果。</w:t>
            </w:r>
          </w:p>
        </w:tc>
        <w:tc>
          <w:tcPr>
            <w:tcW w:w="5812" w:type="dxa"/>
            <w:shd w:val="clear" w:color="auto" w:fill="auto"/>
            <w:noWrap w:val="0"/>
            <w:vAlign w:val="center"/>
          </w:tcPr>
          <w:p w14:paraId="0AC2CB19">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《认证机构管理办法》第十六条 认证机构从事认证活动，应当符合认证基本规范、认证规则规定的程序要求，确保认证过程完整、客观、真实，不得增加、减少或者遗漏程序要求。</w:t>
            </w:r>
          </w:p>
          <w:p w14:paraId="70AC597F">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第三十九条  认证机构违反本办法第十六条规定，增加、减少、遗漏程序要求的，依照《认证认可条例》第六十条的规定进行处罚。认证机构被责令停业整顿的，停业整顿期限为6个月，期间不得从事认证活动。</w:t>
            </w:r>
          </w:p>
          <w:p w14:paraId="0BAB5992">
            <w:pPr>
              <w:overflowPunct w:val="0"/>
              <w:adjustRightInd w:val="0"/>
              <w:snapToGrid w:val="0"/>
              <w:jc w:val="center"/>
              <w:textAlignment w:val="center"/>
              <w:rPr>
                <w:rFonts w:hint="eastAsia"/>
                <w:color w:val="000000"/>
                <w:spacing w:val="-4"/>
                <w:kern w:val="0"/>
                <w:szCs w:val="21"/>
              </w:rPr>
            </w:pPr>
            <w:r>
              <w:rPr>
                <w:rFonts w:hint="eastAsia"/>
                <w:color w:val="000000"/>
                <w:spacing w:val="-4"/>
                <w:kern w:val="0"/>
                <w:szCs w:val="21"/>
              </w:rPr>
              <w:t xml:space="preserve">   认证机构增加、减少、遗漏程序要求，情节轻微且不影响认证结论的客观、真实或者认证有效性的，应当责令其限期改正。逾期未改正或者经改正仍不符合要求的，依照前款规定进行处罚。</w:t>
            </w:r>
          </w:p>
          <w:p w14:paraId="201F9AAE">
            <w:pPr>
              <w:overflowPunct w:val="0"/>
              <w:adjustRightInd w:val="0"/>
              <w:snapToGrid w:val="0"/>
              <w:jc w:val="left"/>
              <w:textAlignment w:val="center"/>
              <w:rPr>
                <w:rFonts w:hint="eastAsia"/>
                <w:color w:val="000000"/>
                <w:spacing w:val="-4"/>
                <w:kern w:val="0"/>
                <w:szCs w:val="21"/>
              </w:rPr>
            </w:pPr>
            <w:r>
              <w:rPr>
                <w:rFonts w:hint="eastAsia"/>
                <w:color w:val="000000"/>
                <w:spacing w:val="-4"/>
                <w:kern w:val="0"/>
                <w:szCs w:val="21"/>
              </w:rPr>
              <w:t>《认证认可条例》第五十九条 认证机构有下列情形之一的，责令改正，处5万元以上20万元以下的罚款，有违法所得的，没收违法所得；情节严重的，责令停业整顿，直至撤销批准文件，并予公布：（一）超出批准范围从事认证活动的；</w:t>
            </w:r>
          </w:p>
          <w:p w14:paraId="2EECE394">
            <w:pPr>
              <w:overflowPunct w:val="0"/>
              <w:adjustRightInd w:val="0"/>
              <w:snapToGrid w:val="0"/>
              <w:jc w:val="center"/>
              <w:textAlignment w:val="center"/>
              <w:rPr>
                <w:rFonts w:hint="eastAsia"/>
                <w:color w:val="000000"/>
                <w:spacing w:val="-4"/>
                <w:kern w:val="0"/>
                <w:szCs w:val="21"/>
              </w:rPr>
            </w:pPr>
            <w:r>
              <w:rPr>
                <w:rFonts w:hint="eastAsia"/>
                <w:color w:val="000000"/>
                <w:spacing w:val="-4"/>
                <w:kern w:val="0"/>
                <w:szCs w:val="21"/>
              </w:rPr>
              <w:t xml:space="preserve">    （二）增加、减少、遗漏认证基本规范、认证规则规定的程序的；</w:t>
            </w:r>
          </w:p>
          <w:p w14:paraId="0A639726">
            <w:pPr>
              <w:overflowPunct w:val="0"/>
              <w:adjustRightInd w:val="0"/>
              <w:snapToGrid w:val="0"/>
              <w:ind w:firstLine="404" w:firstLineChars="200"/>
              <w:jc w:val="left"/>
              <w:textAlignment w:val="center"/>
              <w:rPr>
                <w:rFonts w:hint="eastAsia"/>
                <w:color w:val="000000"/>
                <w:spacing w:val="-4"/>
                <w:kern w:val="0"/>
                <w:szCs w:val="21"/>
              </w:rPr>
            </w:pPr>
            <w:r>
              <w:rPr>
                <w:rFonts w:hint="eastAsia"/>
                <w:color w:val="000000"/>
                <w:spacing w:val="-4"/>
                <w:kern w:val="0"/>
                <w:szCs w:val="21"/>
              </w:rPr>
              <w:t>（三）未对其认证的产品、服务、管理体系实施有效的跟踪调查，或者发现其认证的产品、服务、管理体系不能持续符合认证要求，不及时暂停其使用或者撤销认证证书并予公布的；</w:t>
            </w:r>
          </w:p>
          <w:p w14:paraId="630FF41E">
            <w:pPr>
              <w:overflowPunct w:val="0"/>
              <w:adjustRightInd w:val="0"/>
              <w:snapToGrid w:val="0"/>
              <w:ind w:firstLine="404" w:firstLineChars="200"/>
              <w:textAlignment w:val="center"/>
              <w:rPr>
                <w:rFonts w:hint="eastAsia"/>
                <w:color w:val="000000"/>
                <w:spacing w:val="-4"/>
                <w:kern w:val="0"/>
                <w:szCs w:val="21"/>
              </w:rPr>
            </w:pPr>
            <w:r>
              <w:rPr>
                <w:rFonts w:hint="eastAsia"/>
                <w:color w:val="000000"/>
                <w:spacing w:val="-4"/>
                <w:kern w:val="0"/>
                <w:szCs w:val="21"/>
              </w:rPr>
              <w:t>（四）聘用未经认可机构注册的人员从事认证活动的。</w:t>
            </w:r>
          </w:p>
          <w:p w14:paraId="0249C5EC">
            <w:pPr>
              <w:overflowPunct w:val="0"/>
              <w:adjustRightInd w:val="0"/>
              <w:snapToGrid w:val="0"/>
              <w:ind w:firstLine="404" w:firstLineChars="20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与认证有关的检查机构、实验室增加、减少、遗漏认证基本规范、认证规则规定的程序的，依照前款规定处罚。</w:t>
            </w:r>
          </w:p>
        </w:tc>
        <w:tc>
          <w:tcPr>
            <w:tcW w:w="2017" w:type="dxa"/>
            <w:shd w:val="clear" w:color="auto" w:fill="auto"/>
            <w:noWrap w:val="0"/>
            <w:vAlign w:val="center"/>
          </w:tcPr>
          <w:p w14:paraId="58ED384E">
            <w:pPr>
              <w:overflowPunct w:val="0"/>
              <w:adjustRightInd w:val="0"/>
              <w:snapToGrid w:val="0"/>
              <w:jc w:val="left"/>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DBB08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515" w:hRule="atLeast"/>
        </w:trPr>
        <w:tc>
          <w:tcPr>
            <w:tcW w:w="432" w:type="dxa"/>
            <w:shd w:val="clear" w:color="auto" w:fill="FFFFFF"/>
            <w:noWrap w:val="0"/>
            <w:vAlign w:val="center"/>
          </w:tcPr>
          <w:p w14:paraId="10A1BEE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79</w:t>
            </w:r>
          </w:p>
        </w:tc>
        <w:tc>
          <w:tcPr>
            <w:tcW w:w="3112" w:type="dxa"/>
            <w:shd w:val="clear" w:color="auto" w:fill="auto"/>
            <w:noWrap w:val="0"/>
            <w:vAlign w:val="center"/>
          </w:tcPr>
          <w:p w14:paraId="7C580EE3">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已通过认证，混淆使用认证证书和认证标志</w:t>
            </w:r>
          </w:p>
        </w:tc>
        <w:tc>
          <w:tcPr>
            <w:tcW w:w="2693" w:type="dxa"/>
            <w:shd w:val="clear" w:color="auto" w:fill="auto"/>
            <w:noWrap w:val="0"/>
            <w:vAlign w:val="center"/>
          </w:tcPr>
          <w:p w14:paraId="57AA82BA">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责令限期改正后及时改正的</w:t>
            </w:r>
          </w:p>
        </w:tc>
        <w:tc>
          <w:tcPr>
            <w:tcW w:w="5812" w:type="dxa"/>
            <w:shd w:val="clear" w:color="auto" w:fill="auto"/>
            <w:noWrap w:val="0"/>
            <w:vAlign w:val="center"/>
          </w:tcPr>
          <w:p w14:paraId="3D1A4298">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《认证证书和认证标志管理办法》第十二条 不得利用产品认证证书和相关文字、符号误导公众认为其服务、管理体系通过认证；不得利用服务认证证书和相关文字、符号误导公众认为其产品、管理体系通过认证；不得利用管理体系认证证书和相关文字、符号，误导公众认为其产品、服务通过认证。</w:t>
            </w:r>
          </w:p>
          <w:p w14:paraId="40278D89">
            <w:pPr>
              <w:overflowPunct w:val="0"/>
              <w:adjustRightInd w:val="0"/>
              <w:snapToGrid w:val="0"/>
              <w:textAlignment w:val="center"/>
              <w:rPr>
                <w:rFonts w:hint="eastAsia"/>
                <w:color w:val="000000"/>
                <w:spacing w:val="-4"/>
                <w:kern w:val="0"/>
                <w:szCs w:val="21"/>
              </w:rPr>
            </w:pPr>
            <w:r>
              <w:rPr>
                <w:rFonts w:hint="eastAsia"/>
                <w:color w:val="000000"/>
                <w:spacing w:val="-4"/>
                <w:kern w:val="0"/>
                <w:szCs w:val="21"/>
              </w:rPr>
              <w:t>《认证证书和认证标志管理办法》第二十五条　违反本办法第十二条规定，对混淆使用认证证书和认证标志的，地方认证监督管理部门应当责令其限期改正，逾期不改的处以2万元以下罚款。</w:t>
            </w:r>
          </w:p>
          <w:p w14:paraId="0018E4DC">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未通过认证，但在其产品或者产品包装上、广告等其他宣传中，使用虚假文字表明其通过认证的，地方认证监督管理部门应当按伪造、冒用认证标志、违法行为进行处罚。</w:t>
            </w:r>
          </w:p>
        </w:tc>
        <w:tc>
          <w:tcPr>
            <w:tcW w:w="2017" w:type="dxa"/>
            <w:shd w:val="clear" w:color="auto" w:fill="auto"/>
            <w:noWrap w:val="0"/>
            <w:vAlign w:val="center"/>
          </w:tcPr>
          <w:p w14:paraId="0CC71BD1">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13474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4" w:hRule="atLeast"/>
        </w:trPr>
        <w:tc>
          <w:tcPr>
            <w:tcW w:w="432" w:type="dxa"/>
            <w:shd w:val="clear" w:color="auto" w:fill="FFFFFF"/>
            <w:noWrap w:val="0"/>
            <w:vAlign w:val="center"/>
          </w:tcPr>
          <w:p w14:paraId="7131513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80</w:t>
            </w:r>
          </w:p>
        </w:tc>
        <w:tc>
          <w:tcPr>
            <w:tcW w:w="3112" w:type="dxa"/>
            <w:shd w:val="clear" w:color="auto" w:fill="auto"/>
            <w:noWrap w:val="0"/>
            <w:vAlign w:val="center"/>
          </w:tcPr>
          <w:p w14:paraId="626A998E">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生产的食品相关产品的标识缺少对相关法规及标准的符合性声明，或者声明内容不完整的</w:t>
            </w:r>
          </w:p>
        </w:tc>
        <w:tc>
          <w:tcPr>
            <w:tcW w:w="2693" w:type="dxa"/>
            <w:shd w:val="clear" w:color="auto" w:fill="auto"/>
            <w:noWrap w:val="0"/>
            <w:vAlign w:val="center"/>
          </w:tcPr>
          <w:p w14:paraId="115A596D">
            <w:pPr>
              <w:rPr>
                <w:rFonts w:hint="eastAsia"/>
                <w:color w:val="000000"/>
                <w:spacing w:val="-4"/>
                <w:kern w:val="0"/>
                <w:szCs w:val="21"/>
              </w:rPr>
            </w:pPr>
            <w:r>
              <w:rPr>
                <w:rFonts w:hint="eastAsia"/>
                <w:color w:val="000000"/>
                <w:spacing w:val="-4"/>
                <w:kern w:val="0"/>
                <w:szCs w:val="21"/>
              </w:rPr>
              <w:t>同时具备以下条件：</w:t>
            </w:r>
          </w:p>
          <w:p w14:paraId="454B11F8">
            <w:pPr>
              <w:overflowPunct w:val="0"/>
              <w:adjustRightInd w:val="0"/>
              <w:snapToGrid w:val="0"/>
              <w:textAlignment w:val="center"/>
              <w:rPr>
                <w:rFonts w:hint="eastAsia"/>
                <w:color w:val="000000"/>
                <w:spacing w:val="-4"/>
                <w:szCs w:val="21"/>
              </w:rPr>
            </w:pPr>
            <w:r>
              <w:rPr>
                <w:rFonts w:hint="eastAsia"/>
                <w:color w:val="000000"/>
                <w:spacing w:val="-4"/>
                <w:szCs w:val="21"/>
              </w:rPr>
              <w:t>1.首次实施此类违法行为；2.责令改正后及时改正；</w:t>
            </w:r>
          </w:p>
          <w:p w14:paraId="3BDABBA7">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3.未造成相应危害。</w:t>
            </w:r>
          </w:p>
        </w:tc>
        <w:tc>
          <w:tcPr>
            <w:tcW w:w="5812" w:type="dxa"/>
            <w:shd w:val="clear" w:color="auto" w:fill="auto"/>
            <w:noWrap w:val="0"/>
            <w:vAlign w:val="center"/>
          </w:tcPr>
          <w:p w14:paraId="0A0F703D">
            <w:pPr>
              <w:overflowPunct w:val="0"/>
              <w:adjustRightInd w:val="0"/>
              <w:snapToGrid w:val="0"/>
              <w:rPr>
                <w:rFonts w:hint="eastAsia"/>
                <w:color w:val="000000"/>
                <w:spacing w:val="-4"/>
                <w:szCs w:val="21"/>
              </w:rPr>
            </w:pPr>
            <w:r>
              <w:rPr>
                <w:rFonts w:hint="eastAsia"/>
                <w:color w:val="000000"/>
                <w:spacing w:val="-4"/>
                <w:szCs w:val="21"/>
              </w:rPr>
              <w:t>《食品安全法》第四十一条  生产食品相关产品应当符合法律、法规和食品安全国家标准。对直接接触食品的包装材料等具有较高风险的食品相关产品，按照国家有关工业产品生产许可证管理的规定实施生产许可。质量监督部门应当加强对食品相关产品生产活动的监督管理。</w:t>
            </w:r>
          </w:p>
          <w:p w14:paraId="30ABB185">
            <w:pPr>
              <w:overflowPunct w:val="0"/>
              <w:adjustRightInd w:val="0"/>
              <w:snapToGrid w:val="0"/>
              <w:rPr>
                <w:rFonts w:hint="eastAsia"/>
                <w:color w:val="000000"/>
                <w:spacing w:val="-4"/>
                <w:szCs w:val="21"/>
              </w:rPr>
            </w:pPr>
            <w:r>
              <w:rPr>
                <w:rFonts w:hint="eastAsia"/>
                <w:color w:val="000000"/>
                <w:spacing w:val="-4"/>
                <w:szCs w:val="21"/>
              </w:rPr>
              <w:t>第一百二十四条第一款 违反本法规定，有下列情形之一，尚不构成犯罪的，由县级以上人民政府食品药品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w:t>
            </w:r>
          </w:p>
          <w:p w14:paraId="1F38B38A">
            <w:pPr>
              <w:overflowPunct w:val="0"/>
              <w:adjustRightInd w:val="0"/>
              <w:snapToGrid w:val="0"/>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第一百二十四条第三款  生产食品相关产品新品种，未通过安全性评估，或者生产不符合食品安全标准的食品相关产品的，由县级以上人民政府食品安全监督管理部门依照第一款规定给予处罚。</w:t>
            </w:r>
          </w:p>
        </w:tc>
        <w:tc>
          <w:tcPr>
            <w:tcW w:w="2017" w:type="dxa"/>
            <w:shd w:val="clear" w:color="auto" w:fill="auto"/>
            <w:noWrap w:val="0"/>
            <w:vAlign w:val="center"/>
          </w:tcPr>
          <w:p w14:paraId="37B28703">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21F2E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349" w:hRule="atLeast"/>
        </w:trPr>
        <w:tc>
          <w:tcPr>
            <w:tcW w:w="432" w:type="dxa"/>
            <w:noWrap w:val="0"/>
            <w:vAlign w:val="center"/>
          </w:tcPr>
          <w:p w14:paraId="032B717D">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81</w:t>
            </w:r>
          </w:p>
        </w:tc>
        <w:tc>
          <w:tcPr>
            <w:tcW w:w="3112" w:type="dxa"/>
            <w:shd w:val="clear" w:color="auto" w:fill="auto"/>
            <w:noWrap w:val="0"/>
            <w:vAlign w:val="center"/>
          </w:tcPr>
          <w:p w14:paraId="279274FD">
            <w:pPr>
              <w:overflowPunct w:val="0"/>
              <w:adjustRightInd w:val="0"/>
              <w:snapToGrid w:val="0"/>
              <w:textAlignment w:val="center"/>
              <w:rPr>
                <w:rFonts w:hint="eastAsia" w:asciiTheme="minorHAnsi" w:hAnsiTheme="minorHAnsi" w:eastAsiaTheme="minorEastAsia" w:cstheme="minorBidi"/>
                <w:spacing w:val="-4"/>
                <w:kern w:val="0"/>
                <w:sz w:val="21"/>
                <w:szCs w:val="21"/>
                <w:lang w:val="en-US" w:eastAsia="zh-CN" w:bidi="ar-SA"/>
              </w:rPr>
            </w:pPr>
            <w:r>
              <w:rPr>
                <w:rFonts w:hint="eastAsia"/>
                <w:spacing w:val="-4"/>
                <w:szCs w:val="21"/>
              </w:rPr>
              <w:t>经营标签不符合规定的进口预包装食品</w:t>
            </w:r>
          </w:p>
        </w:tc>
        <w:tc>
          <w:tcPr>
            <w:tcW w:w="2693" w:type="dxa"/>
            <w:shd w:val="clear" w:color="auto" w:fill="auto"/>
            <w:noWrap w:val="0"/>
            <w:vAlign w:val="center"/>
          </w:tcPr>
          <w:p w14:paraId="0DB1773E">
            <w:pPr>
              <w:rPr>
                <w:rFonts w:hint="eastAsia"/>
                <w:spacing w:val="-4"/>
                <w:kern w:val="0"/>
                <w:szCs w:val="21"/>
              </w:rPr>
            </w:pPr>
            <w:r>
              <w:rPr>
                <w:rFonts w:hint="eastAsia"/>
                <w:spacing w:val="-4"/>
                <w:kern w:val="0"/>
                <w:szCs w:val="21"/>
              </w:rPr>
              <w:t>同时具备以下条件：</w:t>
            </w:r>
          </w:p>
          <w:p w14:paraId="2F4D0DEF">
            <w:pPr>
              <w:overflowPunct w:val="0"/>
              <w:adjustRightInd w:val="0"/>
              <w:snapToGrid w:val="0"/>
              <w:textAlignment w:val="center"/>
              <w:rPr>
                <w:rFonts w:hint="eastAsia"/>
                <w:spacing w:val="-4"/>
                <w:szCs w:val="21"/>
              </w:rPr>
            </w:pPr>
            <w:r>
              <w:rPr>
                <w:rFonts w:hint="eastAsia"/>
                <w:spacing w:val="-4"/>
                <w:szCs w:val="21"/>
              </w:rPr>
              <w:t>1.自然年度内不超过三次（含）；</w:t>
            </w:r>
          </w:p>
          <w:p w14:paraId="2AB7B44A">
            <w:pPr>
              <w:overflowPunct w:val="0"/>
              <w:adjustRightInd w:val="0"/>
              <w:snapToGrid w:val="0"/>
              <w:textAlignment w:val="center"/>
              <w:rPr>
                <w:rFonts w:hint="eastAsia"/>
                <w:spacing w:val="-4"/>
                <w:szCs w:val="21"/>
              </w:rPr>
            </w:pPr>
            <w:r>
              <w:rPr>
                <w:rFonts w:hint="eastAsia"/>
                <w:spacing w:val="-4"/>
                <w:szCs w:val="21"/>
              </w:rPr>
              <w:t>2.立即自行改正，或在行政机关责令改正或要求的期限内改正；</w:t>
            </w:r>
          </w:p>
          <w:p w14:paraId="68C16EFB">
            <w:pPr>
              <w:overflowPunct w:val="0"/>
              <w:adjustRightInd w:val="0"/>
              <w:snapToGrid w:val="0"/>
              <w:textAlignment w:val="center"/>
              <w:rPr>
                <w:rFonts w:hint="eastAsia"/>
                <w:spacing w:val="-4"/>
                <w:szCs w:val="21"/>
              </w:rPr>
            </w:pPr>
            <w:r>
              <w:rPr>
                <w:rFonts w:hint="eastAsia"/>
                <w:spacing w:val="-4"/>
                <w:szCs w:val="21"/>
              </w:rPr>
              <w:t>3.不属于同一食品再次发生违法行为情形;</w:t>
            </w:r>
          </w:p>
          <w:p w14:paraId="714172B8">
            <w:pPr>
              <w:overflowPunct w:val="0"/>
              <w:adjustRightInd w:val="0"/>
              <w:snapToGrid w:val="0"/>
              <w:textAlignment w:val="center"/>
              <w:rPr>
                <w:rFonts w:hint="eastAsia"/>
                <w:spacing w:val="-4"/>
                <w:szCs w:val="21"/>
              </w:rPr>
            </w:pPr>
            <w:r>
              <w:rPr>
                <w:rFonts w:hint="eastAsia"/>
                <w:spacing w:val="-4"/>
                <w:szCs w:val="21"/>
              </w:rPr>
              <w:t>4.食品经营者履行了进货查验、索证索票义务；</w:t>
            </w:r>
          </w:p>
          <w:p w14:paraId="1FF9E9C6">
            <w:pPr>
              <w:overflowPunct w:val="0"/>
              <w:adjustRightInd w:val="0"/>
              <w:snapToGrid w:val="0"/>
              <w:textAlignment w:val="center"/>
              <w:rPr>
                <w:rFonts w:hint="eastAsia" w:asciiTheme="minorHAnsi" w:hAnsiTheme="minorHAnsi" w:eastAsiaTheme="minorEastAsia" w:cstheme="minorBidi"/>
                <w:spacing w:val="-4"/>
                <w:kern w:val="0"/>
                <w:sz w:val="21"/>
                <w:szCs w:val="21"/>
                <w:lang w:val="en-US" w:eastAsia="zh-CN" w:bidi="ar-SA"/>
              </w:rPr>
            </w:pPr>
            <w:r>
              <w:rPr>
                <w:rFonts w:hint="eastAsia"/>
                <w:spacing w:val="-4"/>
                <w:szCs w:val="21"/>
              </w:rPr>
              <w:t>5.未造成危害后果。</w:t>
            </w:r>
          </w:p>
        </w:tc>
        <w:tc>
          <w:tcPr>
            <w:tcW w:w="5812" w:type="dxa"/>
            <w:shd w:val="clear" w:color="auto" w:fill="auto"/>
            <w:noWrap w:val="0"/>
            <w:vAlign w:val="center"/>
          </w:tcPr>
          <w:p w14:paraId="352BF5BD">
            <w:pPr>
              <w:overflowPunct w:val="0"/>
              <w:adjustRightInd w:val="0"/>
              <w:snapToGrid w:val="0"/>
              <w:rPr>
                <w:rFonts w:hint="eastAsia"/>
                <w:spacing w:val="-4"/>
                <w:szCs w:val="21"/>
              </w:rPr>
            </w:pPr>
            <w:r>
              <w:rPr>
                <w:rFonts w:hint="eastAsia"/>
                <w:spacing w:val="-4"/>
                <w:szCs w:val="21"/>
              </w:rPr>
              <w:t>《中华人民共和国食品安全法》第九十七条　进口的预包装食品、食品添加剂应当有中文标签；依法应当有说明书的，还应当有中文说明书。标签、说明书应当符合本法以及我国其他有关法律、行政法规的规定和食品安全国家标准的要求，并载明食品的原产地以及境内代理商的名称、地址、联系方式。预包装食品没有中文标签、中文说明书或者标签、说明书不符合本条规定的，不得进口。</w:t>
            </w:r>
          </w:p>
          <w:p w14:paraId="346404C7">
            <w:pPr>
              <w:overflowPunct w:val="0"/>
              <w:adjustRightInd w:val="0"/>
              <w:snapToGrid w:val="0"/>
              <w:rPr>
                <w:rFonts w:hint="eastAsia" w:asciiTheme="minorHAnsi" w:hAnsiTheme="minorHAnsi" w:eastAsiaTheme="minorEastAsia" w:cstheme="minorBidi"/>
                <w:spacing w:val="-4"/>
                <w:kern w:val="2"/>
                <w:sz w:val="21"/>
                <w:szCs w:val="21"/>
                <w:lang w:val="en-US" w:eastAsia="zh-CN" w:bidi="ar-SA"/>
              </w:rPr>
            </w:pPr>
            <w:r>
              <w:rPr>
                <w:rFonts w:hint="eastAsia"/>
                <w:spacing w:val="-4"/>
                <w:szCs w:val="21"/>
              </w:rPr>
              <w:t>第一百二十五条第一款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二）生产经营无标签的预包装食品、食品添加剂或者标签、说明书不符合本法规定的食品、食品添加剂；</w:t>
            </w:r>
          </w:p>
        </w:tc>
        <w:tc>
          <w:tcPr>
            <w:tcW w:w="2017" w:type="dxa"/>
            <w:shd w:val="clear" w:color="auto" w:fill="auto"/>
            <w:noWrap w:val="0"/>
            <w:vAlign w:val="center"/>
          </w:tcPr>
          <w:p w14:paraId="6CC633C9">
            <w:pPr>
              <w:overflowPunct w:val="0"/>
              <w:adjustRightInd w:val="0"/>
              <w:snapToGrid w:val="0"/>
              <w:rPr>
                <w:rFonts w:hint="eastAsia" w:asciiTheme="minorHAnsi" w:hAnsiTheme="minorHAnsi" w:eastAsiaTheme="minorEastAsia" w:cstheme="minorBidi"/>
                <w:spacing w:val="-4"/>
                <w:kern w:val="0"/>
                <w:sz w:val="21"/>
                <w:szCs w:val="21"/>
                <w:lang w:val="en-US" w:eastAsia="zh-CN" w:bidi="ar-SA"/>
              </w:rPr>
            </w:pPr>
            <w:r>
              <w:rPr>
                <w:rFonts w:hint="eastAsia"/>
                <w:spacing w:val="-4"/>
                <w:kern w:val="0"/>
                <w:szCs w:val="21"/>
              </w:rPr>
              <w:t>苏州市市场监督管理局及各市（区）市场监督管理局</w:t>
            </w:r>
          </w:p>
        </w:tc>
      </w:tr>
      <w:tr w14:paraId="66F776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7" w:hRule="atLeast"/>
        </w:trPr>
        <w:tc>
          <w:tcPr>
            <w:tcW w:w="432" w:type="dxa"/>
            <w:noWrap w:val="0"/>
            <w:vAlign w:val="center"/>
          </w:tcPr>
          <w:p w14:paraId="7E66521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82</w:t>
            </w:r>
          </w:p>
        </w:tc>
        <w:tc>
          <w:tcPr>
            <w:tcW w:w="3112" w:type="dxa"/>
            <w:shd w:val="clear" w:color="auto" w:fill="auto"/>
            <w:noWrap w:val="0"/>
            <w:vAlign w:val="center"/>
          </w:tcPr>
          <w:p w14:paraId="0B42C1E8">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食品、食品添加剂的标签、说明书存在瑕疵</w:t>
            </w:r>
          </w:p>
        </w:tc>
        <w:tc>
          <w:tcPr>
            <w:tcW w:w="2693" w:type="dxa"/>
            <w:shd w:val="clear" w:color="auto" w:fill="auto"/>
            <w:noWrap w:val="0"/>
            <w:vAlign w:val="center"/>
          </w:tcPr>
          <w:p w14:paraId="56986E1E">
            <w:pPr>
              <w:rPr>
                <w:rFonts w:hint="eastAsia"/>
                <w:color w:val="000000"/>
                <w:spacing w:val="-4"/>
                <w:kern w:val="0"/>
                <w:szCs w:val="21"/>
              </w:rPr>
            </w:pPr>
            <w:r>
              <w:rPr>
                <w:rFonts w:hint="eastAsia"/>
                <w:color w:val="000000"/>
                <w:spacing w:val="-4"/>
                <w:kern w:val="0"/>
                <w:szCs w:val="21"/>
              </w:rPr>
              <w:t>同时具备以下条件：</w:t>
            </w:r>
          </w:p>
          <w:p w14:paraId="1E84B885">
            <w:pPr>
              <w:overflowPunct w:val="0"/>
              <w:adjustRightInd w:val="0"/>
              <w:snapToGrid w:val="0"/>
              <w:textAlignment w:val="center"/>
              <w:rPr>
                <w:rFonts w:hint="eastAsia"/>
                <w:color w:val="000000"/>
                <w:spacing w:val="-4"/>
                <w:szCs w:val="21"/>
              </w:rPr>
            </w:pPr>
            <w:r>
              <w:rPr>
                <w:rFonts w:hint="eastAsia"/>
                <w:color w:val="000000"/>
                <w:spacing w:val="-4"/>
                <w:szCs w:val="21"/>
              </w:rPr>
              <w:t>1.不影响食品安全且不会对消费者造成误导；</w:t>
            </w:r>
          </w:p>
          <w:p w14:paraId="484676E8">
            <w:pPr>
              <w:overflowPunct w:val="0"/>
              <w:adjustRightInd w:val="0"/>
              <w:snapToGrid w:val="0"/>
              <w:textAlignment w:val="center"/>
              <w:rPr>
                <w:rFonts w:hint="eastAsia"/>
                <w:color w:val="000000"/>
                <w:spacing w:val="-4"/>
                <w:szCs w:val="21"/>
              </w:rPr>
            </w:pPr>
            <w:r>
              <w:rPr>
                <w:rFonts w:hint="eastAsia"/>
                <w:color w:val="000000"/>
                <w:spacing w:val="-4"/>
                <w:szCs w:val="21"/>
              </w:rPr>
              <w:t>2.经营者能说明食品、食品添加剂合法来源；</w:t>
            </w:r>
          </w:p>
          <w:p w14:paraId="65E26E1F">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3.责令限期改正后及时改正。</w:t>
            </w:r>
          </w:p>
        </w:tc>
        <w:tc>
          <w:tcPr>
            <w:tcW w:w="5812" w:type="dxa"/>
            <w:shd w:val="clear" w:color="auto" w:fill="auto"/>
            <w:noWrap w:val="0"/>
            <w:vAlign w:val="center"/>
          </w:tcPr>
          <w:p w14:paraId="5B13BDE2">
            <w:pPr>
              <w:overflowPunct w:val="0"/>
              <w:adjustRightInd w:val="0"/>
              <w:snapToGrid w:val="0"/>
              <w:rPr>
                <w:rFonts w:hint="eastAsia"/>
                <w:color w:val="000000"/>
                <w:spacing w:val="-4"/>
                <w:szCs w:val="21"/>
              </w:rPr>
            </w:pPr>
            <w:r>
              <w:rPr>
                <w:rFonts w:hint="eastAsia"/>
                <w:color w:val="000000"/>
                <w:spacing w:val="-4"/>
                <w:szCs w:val="21"/>
              </w:rPr>
              <w:t>《食品安全法》第七十一条第二款第三款  食品和食品添加剂的标签、说明书应当清楚、明显，生产日期、保质期等事项应当显著标注，容易辨识。</w:t>
            </w:r>
          </w:p>
          <w:p w14:paraId="28E85035">
            <w:pPr>
              <w:overflowPunct w:val="0"/>
              <w:adjustRightInd w:val="0"/>
              <w:snapToGrid w:val="0"/>
              <w:rPr>
                <w:rFonts w:hint="eastAsia"/>
                <w:color w:val="000000"/>
                <w:spacing w:val="-4"/>
                <w:szCs w:val="21"/>
              </w:rPr>
            </w:pPr>
            <w:r>
              <w:rPr>
                <w:rFonts w:hint="eastAsia"/>
                <w:color w:val="000000"/>
                <w:spacing w:val="-4"/>
                <w:szCs w:val="21"/>
              </w:rPr>
              <w:t>食品和食品添加剂与其标签、说明书的内容不符的，不得上市销售。</w:t>
            </w:r>
          </w:p>
          <w:p w14:paraId="2D5D3109">
            <w:pPr>
              <w:widowControl/>
              <w:shd w:val="clear" w:color="auto" w:fill="FFFFFF"/>
              <w:spacing w:line="280" w:lineRule="exact"/>
              <w:rPr>
                <w:color w:val="000000"/>
                <w:spacing w:val="-4"/>
                <w:szCs w:val="21"/>
              </w:rPr>
            </w:pPr>
            <w:r>
              <w:rPr>
                <w:rFonts w:hint="eastAsia"/>
                <w:color w:val="000000"/>
                <w:spacing w:val="-4"/>
                <w:szCs w:val="21"/>
              </w:rPr>
              <w:t>《食品生产经营监督检查管理办法》第三十七条　监督检查中发现生产经营的食品、食品添加剂的标签、说明书存在食品安全法第一百二十五条第二款规定的瑕疵的，市场监督管理部门应当责令当事人改正。经食品生产者采取补救措施且能保证食品安全的食品、食品添加剂可以继续销售；销售时应当向消费者明示补救措施。</w:t>
            </w:r>
          </w:p>
          <w:p w14:paraId="3CB358B1">
            <w:pPr>
              <w:widowControl/>
              <w:shd w:val="clear" w:color="auto" w:fill="FFFFFF"/>
              <w:spacing w:line="280" w:lineRule="exact"/>
              <w:rPr>
                <w:color w:val="000000"/>
                <w:spacing w:val="-4"/>
                <w:szCs w:val="21"/>
              </w:rPr>
            </w:pPr>
            <w:r>
              <w:rPr>
                <w:rFonts w:hint="eastAsia"/>
                <w:color w:val="000000"/>
                <w:spacing w:val="-4"/>
                <w:szCs w:val="21"/>
              </w:rPr>
              <w:t>认定标签、说明书瑕疵，应当综合考虑标注内容与食品安全的关联性、当事人的主观过错、消费者对食品安全的理解和选择等因素。有下列情形之一的，可以认定为食品安全法第一百二十五条第二款规定的标签、说明书瑕疵：</w:t>
            </w:r>
          </w:p>
          <w:p w14:paraId="653C0D44">
            <w:pPr>
              <w:widowControl/>
              <w:shd w:val="clear" w:color="auto" w:fill="FFFFFF"/>
              <w:spacing w:line="280" w:lineRule="exact"/>
              <w:rPr>
                <w:color w:val="000000"/>
                <w:spacing w:val="-4"/>
                <w:szCs w:val="21"/>
              </w:rPr>
            </w:pPr>
            <w:r>
              <w:rPr>
                <w:rFonts w:hint="eastAsia"/>
                <w:color w:val="000000"/>
                <w:spacing w:val="-4"/>
                <w:szCs w:val="21"/>
              </w:rPr>
              <w:t>（一）文字、符号、数字的字号、字体、字高不规范，出现错别字、多字、漏字、繁体字，或者外文翻译不准确以及外文字号、字高大于中文等的；</w:t>
            </w:r>
          </w:p>
          <w:p w14:paraId="70A5C3CE">
            <w:pPr>
              <w:widowControl/>
              <w:shd w:val="clear" w:color="auto" w:fill="FFFFFF"/>
              <w:spacing w:line="280" w:lineRule="exact"/>
              <w:rPr>
                <w:color w:val="000000"/>
                <w:spacing w:val="-4"/>
                <w:szCs w:val="21"/>
              </w:rPr>
            </w:pPr>
            <w:r>
              <w:rPr>
                <w:rFonts w:hint="eastAsia"/>
                <w:color w:val="000000"/>
                <w:spacing w:val="-4"/>
                <w:szCs w:val="21"/>
              </w:rPr>
              <w:t>（二）净含量、规格的标示方式和格式不规范，或者对没有特殊贮存条件要求的食品，未按照规定标注贮存条件的；</w:t>
            </w:r>
          </w:p>
          <w:p w14:paraId="32199644">
            <w:pPr>
              <w:widowControl/>
              <w:shd w:val="clear" w:color="auto" w:fill="FFFFFF"/>
              <w:spacing w:line="280" w:lineRule="exact"/>
              <w:rPr>
                <w:color w:val="000000"/>
                <w:spacing w:val="-4"/>
                <w:szCs w:val="21"/>
              </w:rPr>
            </w:pPr>
            <w:r>
              <w:rPr>
                <w:rFonts w:hint="eastAsia"/>
                <w:color w:val="000000"/>
                <w:spacing w:val="-4"/>
                <w:szCs w:val="21"/>
              </w:rPr>
              <w:t>（三）食品、食品添加剂以及配料使用的俗称或者简称等不规范的；</w:t>
            </w:r>
          </w:p>
          <w:p w14:paraId="06C7BE3E">
            <w:pPr>
              <w:widowControl/>
              <w:shd w:val="clear" w:color="auto" w:fill="FFFFFF"/>
              <w:spacing w:line="280" w:lineRule="exact"/>
              <w:rPr>
                <w:color w:val="000000"/>
                <w:spacing w:val="-4"/>
                <w:szCs w:val="21"/>
              </w:rPr>
            </w:pPr>
            <w:r>
              <w:rPr>
                <w:rFonts w:hint="eastAsia"/>
                <w:color w:val="000000"/>
                <w:spacing w:val="-4"/>
                <w:szCs w:val="21"/>
              </w:rPr>
              <w:t>（四）营养成分表、配料表顺序、数值、单位标示不规范，或者营养成分表数值修约间隔、“0”界限值、标示单位不规范的；</w:t>
            </w:r>
          </w:p>
          <w:p w14:paraId="61EA2A54">
            <w:pPr>
              <w:widowControl/>
              <w:shd w:val="clear" w:color="auto" w:fill="FFFFFF"/>
              <w:spacing w:line="280" w:lineRule="exact"/>
              <w:rPr>
                <w:color w:val="000000"/>
                <w:spacing w:val="-4"/>
                <w:szCs w:val="21"/>
              </w:rPr>
            </w:pPr>
            <w:r>
              <w:rPr>
                <w:rFonts w:hint="eastAsia"/>
                <w:color w:val="000000"/>
                <w:spacing w:val="-4"/>
                <w:szCs w:val="21"/>
              </w:rPr>
              <w:t>（五）对有证据证明未实际添加的成分，标注了“未添加”，但未按照规定标示具体含量的；</w:t>
            </w:r>
          </w:p>
          <w:p w14:paraId="2A0513F9">
            <w:pPr>
              <w:widowControl/>
              <w:shd w:val="clear" w:color="auto" w:fill="FFFFFF"/>
              <w:spacing w:line="280" w:lineRule="exact"/>
              <w:rPr>
                <w:color w:val="000000"/>
                <w:spacing w:val="-4"/>
                <w:szCs w:val="21"/>
              </w:rPr>
            </w:pPr>
            <w:r>
              <w:rPr>
                <w:rFonts w:hint="eastAsia"/>
                <w:color w:val="000000"/>
                <w:spacing w:val="-4"/>
                <w:szCs w:val="21"/>
              </w:rPr>
              <w:t>（六）国家市场监督管理总局认定的其他情节轻微，不影响食品安全，没有故意误导消费者的情形。</w:t>
            </w:r>
          </w:p>
          <w:p w14:paraId="606B2CA6">
            <w:pPr>
              <w:overflowPunct w:val="0"/>
              <w:adjustRightInd w:val="0"/>
              <w:snapToGrid w:val="0"/>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《食品安全法》第一百二十五条第二款 生产经营的食品、食品添加剂的标签、说明书存在瑕疵但不影响食品安全且不会对消费者造成误导的，由县级以上人民政府食品安全监督管理部门责令改正；拒不改正的，处二千元以下罚款。</w:t>
            </w:r>
          </w:p>
        </w:tc>
        <w:tc>
          <w:tcPr>
            <w:tcW w:w="2017" w:type="dxa"/>
            <w:shd w:val="clear" w:color="auto" w:fill="auto"/>
            <w:noWrap w:val="0"/>
            <w:vAlign w:val="center"/>
          </w:tcPr>
          <w:p w14:paraId="50CF6D97">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7E1C3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742" w:hRule="atLeast"/>
        </w:trPr>
        <w:tc>
          <w:tcPr>
            <w:tcW w:w="432" w:type="dxa"/>
            <w:noWrap w:val="0"/>
            <w:vAlign w:val="center"/>
          </w:tcPr>
          <w:p w14:paraId="3895B0D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83</w:t>
            </w:r>
          </w:p>
        </w:tc>
        <w:tc>
          <w:tcPr>
            <w:tcW w:w="3112" w:type="dxa"/>
            <w:shd w:val="clear" w:color="auto" w:fill="auto"/>
            <w:noWrap w:val="0"/>
            <w:vAlign w:val="center"/>
          </w:tcPr>
          <w:p w14:paraId="0A2DDB20">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食品生产许可证副本载明的同一食品类别内的事项、外设仓库地址发生变化，食品生产者未按规定报告，或者食品生产者终止食品生产，食品生产许可被撤回、撤销或者食品生产许可证被吊销，未按规定申请办理注销手续</w:t>
            </w:r>
          </w:p>
        </w:tc>
        <w:tc>
          <w:tcPr>
            <w:tcW w:w="2693" w:type="dxa"/>
            <w:shd w:val="clear" w:color="auto" w:fill="auto"/>
            <w:noWrap w:val="0"/>
            <w:vAlign w:val="center"/>
          </w:tcPr>
          <w:p w14:paraId="65FEA21F">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责令限期改正后及时改正的</w:t>
            </w:r>
          </w:p>
        </w:tc>
        <w:tc>
          <w:tcPr>
            <w:tcW w:w="5812" w:type="dxa"/>
            <w:shd w:val="clear" w:color="auto" w:fill="auto"/>
            <w:noWrap w:val="0"/>
            <w:vAlign w:val="center"/>
          </w:tcPr>
          <w:p w14:paraId="67A46C77">
            <w:pPr>
              <w:overflowPunct w:val="0"/>
              <w:adjustRightInd w:val="0"/>
              <w:snapToGrid w:val="0"/>
              <w:rPr>
                <w:rFonts w:hint="eastAsia"/>
                <w:color w:val="000000"/>
                <w:spacing w:val="-4"/>
                <w:szCs w:val="21"/>
              </w:rPr>
            </w:pPr>
            <w:r>
              <w:rPr>
                <w:rFonts w:hint="eastAsia"/>
                <w:color w:val="000000"/>
                <w:spacing w:val="-4"/>
                <w:szCs w:val="21"/>
              </w:rPr>
              <w:t>《食品生产许可管理办法》第三十二条第三款  食品生产许可证副本载明的同一食品类别内的事项发生变化的，食品生产者应当在变化后10个工作日内向原发证的市场监督管理部门报告。</w:t>
            </w:r>
          </w:p>
          <w:p w14:paraId="7DF18FC2">
            <w:pPr>
              <w:overflowPunct w:val="0"/>
              <w:adjustRightInd w:val="0"/>
              <w:snapToGrid w:val="0"/>
              <w:rPr>
                <w:rFonts w:hint="eastAsia"/>
                <w:color w:val="000000"/>
                <w:spacing w:val="-4"/>
                <w:szCs w:val="21"/>
              </w:rPr>
            </w:pPr>
            <w:r>
              <w:rPr>
                <w:rFonts w:hint="eastAsia"/>
                <w:color w:val="000000"/>
                <w:spacing w:val="-4"/>
                <w:szCs w:val="21"/>
              </w:rPr>
              <w:t>第四十条第一款  食品生产者终止食品生产，食品生产许可被撤回、撤销，应当在20个工作日内向原发证的市场监督管理部门申请办理注销手续。</w:t>
            </w:r>
          </w:p>
          <w:p w14:paraId="11D3100E">
            <w:pPr>
              <w:overflowPunct w:val="0"/>
              <w:adjustRightInd w:val="0"/>
              <w:snapToGrid w:val="0"/>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《食品生产许可管理办法》五十三条第三款  违反本办法第三十二条第三款、第四十条第一款规定，食品生产许可证副本载明的同一食品类别内的事项发生变化，食品生产者未按规定报告的，食品生产者终止食品生产，食品生产许可被撤回、撤销或者食品生产许可证被吊销，未按规定申请办理注销手续的，由原发证的市场监督管理部门责令改正；拒不改正的，给予警告，并处5000元以下罚款。</w:t>
            </w:r>
          </w:p>
        </w:tc>
        <w:tc>
          <w:tcPr>
            <w:tcW w:w="2017" w:type="dxa"/>
            <w:shd w:val="clear" w:color="auto" w:fill="auto"/>
            <w:noWrap w:val="0"/>
            <w:vAlign w:val="center"/>
          </w:tcPr>
          <w:p w14:paraId="00C85A69">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6A8223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75" w:hRule="atLeast"/>
        </w:trPr>
        <w:tc>
          <w:tcPr>
            <w:tcW w:w="432" w:type="dxa"/>
            <w:noWrap w:val="0"/>
            <w:vAlign w:val="center"/>
          </w:tcPr>
          <w:p w14:paraId="400C4B2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84</w:t>
            </w:r>
          </w:p>
        </w:tc>
        <w:tc>
          <w:tcPr>
            <w:tcW w:w="3112" w:type="dxa"/>
            <w:shd w:val="clear" w:color="auto" w:fill="auto"/>
            <w:noWrap w:val="0"/>
            <w:vAlign w:val="center"/>
          </w:tcPr>
          <w:p w14:paraId="6DE2412D">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食品经营者未在相关变化后十个工作日内向原发证的市场监督管理部门报告</w:t>
            </w:r>
          </w:p>
        </w:tc>
        <w:tc>
          <w:tcPr>
            <w:tcW w:w="2693" w:type="dxa"/>
            <w:shd w:val="clear" w:color="auto" w:fill="auto"/>
            <w:noWrap w:val="0"/>
            <w:vAlign w:val="center"/>
          </w:tcPr>
          <w:p w14:paraId="39E773E1">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责令限期改正后及时改正的</w:t>
            </w:r>
          </w:p>
        </w:tc>
        <w:tc>
          <w:tcPr>
            <w:tcW w:w="5812" w:type="dxa"/>
            <w:shd w:val="clear" w:color="auto" w:fill="auto"/>
            <w:noWrap w:val="0"/>
            <w:vAlign w:val="center"/>
          </w:tcPr>
          <w:p w14:paraId="5F185B61">
            <w:pPr>
              <w:pStyle w:val="8"/>
              <w:widowControl/>
              <w:spacing w:before="0" w:beforeAutospacing="0" w:after="0" w:afterAutospacing="0"/>
              <w:rPr>
                <w:rFonts w:hint="eastAsia"/>
                <w:color w:val="000000"/>
                <w:spacing w:val="-4"/>
                <w:sz w:val="21"/>
                <w:szCs w:val="21"/>
              </w:rPr>
            </w:pPr>
            <w:r>
              <w:rPr>
                <w:rFonts w:hint="eastAsia"/>
                <w:color w:val="000000"/>
                <w:spacing w:val="-4"/>
                <w:sz w:val="21"/>
                <w:szCs w:val="21"/>
              </w:rPr>
              <w:t>《食品经营许可和备案管理办法》（</w:t>
            </w:r>
            <w:r>
              <w:rPr>
                <w:color w:val="000000"/>
                <w:spacing w:val="-4"/>
                <w:sz w:val="21"/>
                <w:szCs w:val="21"/>
              </w:rPr>
              <w:t>2023年12月1日起施行）</w:t>
            </w:r>
            <w:r>
              <w:rPr>
                <w:rFonts w:hint="eastAsia"/>
                <w:color w:val="000000"/>
                <w:spacing w:val="-4"/>
                <w:sz w:val="21"/>
                <w:szCs w:val="21"/>
              </w:rPr>
              <w:t>第三十条第一款　发生下列情形的，食品经营者应当在变化后十个工作日内向原发证的市场监督管理部门报告：</w:t>
            </w:r>
          </w:p>
          <w:p w14:paraId="53059ED3">
            <w:pPr>
              <w:pStyle w:val="8"/>
              <w:widowControl/>
              <w:spacing w:before="0" w:beforeAutospacing="0" w:after="0" w:afterAutospacing="0"/>
              <w:rPr>
                <w:rFonts w:hint="eastAsia"/>
                <w:color w:val="000000"/>
                <w:spacing w:val="-4"/>
                <w:sz w:val="21"/>
                <w:szCs w:val="21"/>
              </w:rPr>
            </w:pPr>
            <w:r>
              <w:rPr>
                <w:rFonts w:hint="eastAsia"/>
                <w:color w:val="000000"/>
                <w:spacing w:val="-4"/>
                <w:sz w:val="21"/>
                <w:szCs w:val="21"/>
              </w:rPr>
              <w:t>（一）食品经营者的主要设备设施、经营布局、操作流程等发生较大变化，可能影响食品安全的；</w:t>
            </w:r>
          </w:p>
          <w:p w14:paraId="640F2DB2">
            <w:pPr>
              <w:pStyle w:val="8"/>
              <w:widowControl/>
              <w:spacing w:before="0" w:beforeAutospacing="0" w:after="0" w:afterAutospacing="0"/>
              <w:rPr>
                <w:rFonts w:hint="eastAsia"/>
                <w:color w:val="000000"/>
                <w:spacing w:val="-4"/>
                <w:sz w:val="21"/>
                <w:szCs w:val="21"/>
              </w:rPr>
            </w:pPr>
            <w:r>
              <w:rPr>
                <w:rFonts w:hint="eastAsia"/>
                <w:color w:val="000000"/>
                <w:spacing w:val="-4"/>
                <w:sz w:val="21"/>
                <w:szCs w:val="21"/>
              </w:rPr>
              <w:t>（二）从事网络经营情况发生变化的；</w:t>
            </w:r>
          </w:p>
          <w:p w14:paraId="5B09D906">
            <w:pPr>
              <w:pStyle w:val="8"/>
              <w:widowControl/>
              <w:spacing w:before="0" w:beforeAutospacing="0" w:after="0" w:afterAutospacing="0"/>
              <w:rPr>
                <w:rFonts w:hint="eastAsia"/>
                <w:color w:val="000000"/>
                <w:spacing w:val="-4"/>
                <w:sz w:val="21"/>
                <w:szCs w:val="21"/>
              </w:rPr>
            </w:pPr>
            <w:r>
              <w:rPr>
                <w:rFonts w:hint="eastAsia"/>
                <w:color w:val="000000"/>
                <w:spacing w:val="-4"/>
                <w:sz w:val="21"/>
                <w:szCs w:val="21"/>
              </w:rPr>
              <w:t>（三）外设仓库（包括自有和租赁）地址发生变化的；</w:t>
            </w:r>
          </w:p>
          <w:p w14:paraId="5672914C">
            <w:pPr>
              <w:pStyle w:val="8"/>
              <w:widowControl/>
              <w:spacing w:before="0" w:beforeAutospacing="0" w:after="0" w:afterAutospacing="0"/>
              <w:rPr>
                <w:rFonts w:hint="eastAsia"/>
                <w:color w:val="000000"/>
                <w:spacing w:val="-4"/>
                <w:sz w:val="21"/>
                <w:szCs w:val="21"/>
              </w:rPr>
            </w:pPr>
            <w:r>
              <w:rPr>
                <w:rFonts w:hint="eastAsia"/>
                <w:color w:val="000000"/>
                <w:spacing w:val="-4"/>
                <w:sz w:val="21"/>
                <w:szCs w:val="21"/>
              </w:rPr>
              <w:t>（四）集体用餐配送单位向学校、托幼机构供餐情况发生变化的；</w:t>
            </w:r>
          </w:p>
          <w:p w14:paraId="3CEDCEA1">
            <w:pPr>
              <w:pStyle w:val="8"/>
              <w:widowControl/>
              <w:spacing w:before="0" w:beforeAutospacing="0" w:after="0" w:afterAutospacing="0"/>
              <w:rPr>
                <w:rFonts w:hint="eastAsia"/>
                <w:color w:val="000000"/>
                <w:spacing w:val="-4"/>
                <w:sz w:val="21"/>
                <w:szCs w:val="21"/>
              </w:rPr>
            </w:pPr>
            <w:r>
              <w:rPr>
                <w:rFonts w:hint="eastAsia"/>
                <w:color w:val="000000"/>
                <w:spacing w:val="-4"/>
                <w:sz w:val="21"/>
                <w:szCs w:val="21"/>
              </w:rPr>
              <w:t>（五）自动设备放置地点、数量发生变化的；</w:t>
            </w:r>
          </w:p>
          <w:p w14:paraId="0F805F9A">
            <w:pPr>
              <w:pStyle w:val="8"/>
              <w:widowControl/>
              <w:spacing w:before="0" w:beforeAutospacing="0" w:after="0" w:afterAutospacing="0"/>
              <w:rPr>
                <w:rFonts w:hint="eastAsia"/>
                <w:color w:val="000000"/>
                <w:spacing w:val="-4"/>
                <w:sz w:val="21"/>
                <w:szCs w:val="21"/>
              </w:rPr>
            </w:pPr>
            <w:r>
              <w:rPr>
                <w:rFonts w:hint="eastAsia"/>
                <w:color w:val="000000"/>
                <w:spacing w:val="-4"/>
                <w:sz w:val="21"/>
                <w:szCs w:val="21"/>
              </w:rPr>
              <w:t>（六）增加预包装食品销售的。</w:t>
            </w:r>
          </w:p>
          <w:p w14:paraId="24751E59">
            <w:pPr>
              <w:pStyle w:val="8"/>
              <w:widowControl/>
              <w:spacing w:before="0" w:beforeAutospacing="0" w:after="0" w:afterAutospacing="0"/>
              <w:rPr>
                <w:rFonts w:hint="eastAsia"/>
                <w:color w:val="000000"/>
                <w:spacing w:val="-4"/>
                <w:sz w:val="21"/>
                <w:szCs w:val="21"/>
              </w:rPr>
            </w:pPr>
            <w:r>
              <w:rPr>
                <w:rFonts w:hint="eastAsia"/>
                <w:color w:val="000000"/>
                <w:spacing w:val="-4"/>
                <w:sz w:val="21"/>
                <w:szCs w:val="21"/>
              </w:rPr>
              <w:t>第五十八条　违反本办法第三十条第一款第一项规定的，由县级以上地方市场监督管理部门责令限期改正；逾期不改的，处两千元以上一万元以下罚款；情节严重的，处一万元以上五万元以下罚款；造成危害后果的，处五万元以上二十万元以下罚款。</w:t>
            </w:r>
          </w:p>
          <w:p w14:paraId="39D10F1D">
            <w:pPr>
              <w:pStyle w:val="8"/>
              <w:widowControl/>
              <w:spacing w:before="0" w:beforeAutospacing="0" w:after="0" w:afterAutospacing="0"/>
              <w:rPr>
                <w:rFonts w:hint="eastAsia" w:ascii="Times New Roman" w:hAnsi="Times New Roman" w:eastAsiaTheme="minorEastAsia" w:cstheme="minorBidi"/>
                <w:color w:val="000000"/>
                <w:spacing w:val="-4"/>
                <w:kern w:val="0"/>
                <w:sz w:val="21"/>
                <w:szCs w:val="21"/>
                <w:lang w:val="en-US" w:eastAsia="zh-CN" w:bidi="ar-SA"/>
              </w:rPr>
            </w:pPr>
            <w:r>
              <w:rPr>
                <w:rFonts w:hint="eastAsia"/>
                <w:color w:val="000000"/>
                <w:spacing w:val="-4"/>
                <w:sz w:val="21"/>
                <w:szCs w:val="21"/>
              </w:rPr>
              <w:t>违反本办法第三十条第一款第二项至第六项规定的，由县级以上地方市场监督管理部门责令限期改正；逾期不改的，处一千元以上一万元以下罚款。</w:t>
            </w:r>
          </w:p>
        </w:tc>
        <w:tc>
          <w:tcPr>
            <w:tcW w:w="2017" w:type="dxa"/>
            <w:shd w:val="clear" w:color="auto" w:fill="auto"/>
            <w:noWrap w:val="0"/>
            <w:vAlign w:val="center"/>
          </w:tcPr>
          <w:p w14:paraId="29E42B33">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57573C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75" w:hRule="atLeast"/>
        </w:trPr>
        <w:tc>
          <w:tcPr>
            <w:tcW w:w="432" w:type="dxa"/>
            <w:noWrap w:val="0"/>
            <w:vAlign w:val="center"/>
          </w:tcPr>
          <w:p w14:paraId="5B1C94A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85</w:t>
            </w:r>
          </w:p>
        </w:tc>
        <w:tc>
          <w:tcPr>
            <w:tcW w:w="3112" w:type="dxa"/>
            <w:shd w:val="clear" w:color="auto" w:fill="auto"/>
            <w:noWrap w:val="0"/>
            <w:vAlign w:val="center"/>
          </w:tcPr>
          <w:p w14:paraId="317E0EAE">
            <w:pPr>
              <w:overflowPunct w:val="0"/>
              <w:adjustRightInd w:val="0"/>
              <w:snapToGrid w:val="0"/>
              <w:jc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食品经营许可证载明的主体业态、经营项目等许可事项发生变化，食品经营者未按照规定申请变更的</w:t>
            </w:r>
          </w:p>
        </w:tc>
        <w:tc>
          <w:tcPr>
            <w:tcW w:w="2693" w:type="dxa"/>
            <w:shd w:val="clear" w:color="auto" w:fill="auto"/>
            <w:noWrap w:val="0"/>
            <w:vAlign w:val="center"/>
          </w:tcPr>
          <w:p w14:paraId="48101D21">
            <w:pPr>
              <w:overflowPunct w:val="0"/>
              <w:adjustRightInd w:val="0"/>
              <w:snapToGrid w:val="0"/>
              <w:spacing w:line="320" w:lineRule="exact"/>
              <w:jc w:val="center"/>
              <w:rPr>
                <w:color w:val="000000"/>
                <w:spacing w:val="-4"/>
                <w:kern w:val="0"/>
                <w:szCs w:val="21"/>
              </w:rPr>
            </w:pPr>
            <w:r>
              <w:rPr>
                <w:rFonts w:hint="eastAsia"/>
                <w:color w:val="000000"/>
                <w:spacing w:val="-4"/>
                <w:kern w:val="0"/>
                <w:szCs w:val="21"/>
              </w:rPr>
              <w:t>同时具备以下条件：</w:t>
            </w:r>
          </w:p>
          <w:p w14:paraId="05A96F1D">
            <w:pPr>
              <w:widowControl/>
              <w:jc w:val="center"/>
              <w:rPr>
                <w:color w:val="000000"/>
                <w:spacing w:val="-4"/>
                <w:kern w:val="0"/>
                <w:szCs w:val="21"/>
              </w:rPr>
            </w:pPr>
            <w:r>
              <w:rPr>
                <w:rFonts w:hint="eastAsia"/>
                <w:color w:val="000000"/>
                <w:spacing w:val="-4"/>
                <w:kern w:val="0"/>
                <w:szCs w:val="21"/>
              </w:rPr>
              <w:t>1</w:t>
            </w:r>
            <w:r>
              <w:rPr>
                <w:color w:val="000000"/>
                <w:spacing w:val="-4"/>
                <w:kern w:val="0"/>
                <w:szCs w:val="21"/>
              </w:rPr>
              <w:t>.</w:t>
            </w:r>
            <w:r>
              <w:rPr>
                <w:rFonts w:hint="eastAsia"/>
                <w:color w:val="000000"/>
                <w:spacing w:val="-4"/>
                <w:kern w:val="0"/>
                <w:szCs w:val="21"/>
              </w:rPr>
              <w:t>属于食品经营环节；</w:t>
            </w:r>
            <w:r>
              <w:rPr>
                <w:color w:val="000000"/>
                <w:spacing w:val="-4"/>
                <w:kern w:val="0"/>
                <w:szCs w:val="21"/>
              </w:rPr>
              <w:t xml:space="preserve">              </w:t>
            </w:r>
          </w:p>
          <w:p w14:paraId="08F962FC">
            <w:pPr>
              <w:widowControl/>
              <w:jc w:val="center"/>
              <w:rPr>
                <w:rFonts w:hint="eastAsia"/>
                <w:color w:val="000000"/>
                <w:spacing w:val="-4"/>
                <w:kern w:val="0"/>
                <w:szCs w:val="21"/>
              </w:rPr>
            </w:pPr>
            <w:r>
              <w:rPr>
                <w:rFonts w:hint="eastAsia"/>
                <w:color w:val="000000"/>
                <w:spacing w:val="-4"/>
                <w:kern w:val="0"/>
                <w:szCs w:val="21"/>
              </w:rPr>
              <w:t>2.符合《食品经营许可和备案管理办法》第五十二条第三款规定其中之一的；</w:t>
            </w:r>
          </w:p>
          <w:p w14:paraId="13D8EC46">
            <w:pPr>
              <w:overflowPunct w:val="0"/>
              <w:adjustRightInd w:val="0"/>
              <w:snapToGrid w:val="0"/>
              <w:jc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3.初次违法，案发后立即自行改正或责令改正期间已改正。</w:t>
            </w:r>
          </w:p>
        </w:tc>
        <w:tc>
          <w:tcPr>
            <w:tcW w:w="5812" w:type="dxa"/>
            <w:shd w:val="clear" w:color="auto" w:fill="auto"/>
            <w:noWrap w:val="0"/>
            <w:vAlign w:val="center"/>
          </w:tcPr>
          <w:p w14:paraId="056EC537">
            <w:pPr>
              <w:widowControl/>
              <w:ind w:firstLine="404" w:firstLineChars="200"/>
              <w:jc w:val="left"/>
              <w:rPr>
                <w:rFonts w:hint="eastAsia"/>
                <w:color w:val="000000"/>
                <w:spacing w:val="-4"/>
                <w:kern w:val="0"/>
                <w:szCs w:val="21"/>
              </w:rPr>
            </w:pPr>
            <w:r>
              <w:rPr>
                <w:rFonts w:hint="eastAsia"/>
                <w:color w:val="000000"/>
                <w:spacing w:val="-4"/>
                <w:kern w:val="0"/>
                <w:szCs w:val="21"/>
              </w:rPr>
              <w:t xml:space="preserve">《食品经营许可和备案管理办法》第二十九条　食品经营许可证载明的事项发生变化的，食品经营者应当在变化后十个工作日内向原发证的市场监督管理部门申请变更食品经营许可。  </w:t>
            </w:r>
          </w:p>
          <w:p w14:paraId="2556A9EC">
            <w:pPr>
              <w:pStyle w:val="8"/>
              <w:widowControl/>
              <w:spacing w:before="0" w:beforeAutospacing="0" w:after="0" w:afterAutospacing="0"/>
              <w:rPr>
                <w:color w:val="000000"/>
                <w:spacing w:val="-4"/>
                <w:sz w:val="21"/>
                <w:szCs w:val="21"/>
              </w:rPr>
            </w:pPr>
            <w:r>
              <w:rPr>
                <w:rFonts w:hint="eastAsia"/>
                <w:color w:val="000000"/>
                <w:spacing w:val="-4"/>
                <w:sz w:val="21"/>
                <w:szCs w:val="21"/>
              </w:rPr>
              <w:t>《食品经营许可和备案管理办法》第五十二条第三款  食品经营许可证载明的主体业态、经营项目等许可事项发生变化，食品经营者未按照规定申请变更的，由县级以上地方市场监督管理部门依照《中华人民共和国食品安全法》第一百二十二条的规定给予处罚。但是，有下列情形之一，依照《中华人民共和国行政处罚法》第三十二条、第三十三条的规定从轻、减轻或者不予行政处罚：</w:t>
            </w:r>
            <w:r>
              <w:rPr>
                <w:rFonts w:hint="eastAsia"/>
                <w:color w:val="000000"/>
                <w:spacing w:val="-4"/>
                <w:sz w:val="21"/>
                <w:szCs w:val="21"/>
              </w:rPr>
              <w:br w:type="textWrapping"/>
            </w:r>
            <w:r>
              <w:rPr>
                <w:rFonts w:hint="eastAsia"/>
                <w:color w:val="000000"/>
                <w:spacing w:val="-4"/>
                <w:sz w:val="21"/>
                <w:szCs w:val="21"/>
              </w:rPr>
              <w:t>　　（一）主体业态、经营项目发生变化，但食品安全风险等级未升高的；</w:t>
            </w:r>
            <w:r>
              <w:rPr>
                <w:rFonts w:hint="eastAsia"/>
                <w:color w:val="000000"/>
                <w:spacing w:val="-4"/>
                <w:sz w:val="21"/>
                <w:szCs w:val="21"/>
              </w:rPr>
              <w:br w:type="textWrapping"/>
            </w:r>
            <w:r>
              <w:rPr>
                <w:rFonts w:hint="eastAsia"/>
                <w:color w:val="000000"/>
                <w:spacing w:val="-4"/>
                <w:sz w:val="21"/>
                <w:szCs w:val="21"/>
              </w:rPr>
              <w:t>　　（二）增加经营项目类型，但增加的经营项目所需的经营条件被已经取得许可的经营项目涵盖的；</w:t>
            </w:r>
            <w:r>
              <w:rPr>
                <w:rFonts w:hint="eastAsia"/>
                <w:color w:val="000000"/>
                <w:spacing w:val="-4"/>
                <w:sz w:val="21"/>
                <w:szCs w:val="21"/>
              </w:rPr>
              <w:br w:type="textWrapping"/>
            </w:r>
            <w:r>
              <w:rPr>
                <w:rFonts w:hint="eastAsia"/>
                <w:color w:val="000000"/>
                <w:spacing w:val="-4"/>
                <w:sz w:val="21"/>
                <w:szCs w:val="21"/>
              </w:rPr>
              <w:t>　　（三）违法行为轻微，未对消费者人身健康和生命安全等造成危害后果的；</w:t>
            </w:r>
          </w:p>
          <w:p w14:paraId="0FEEEDF2">
            <w:pPr>
              <w:pStyle w:val="8"/>
              <w:widowControl/>
              <w:spacing w:before="0" w:beforeAutospacing="0" w:after="0" w:afterAutospacing="0"/>
              <w:ind w:firstLine="404" w:firstLineChars="200"/>
              <w:rPr>
                <w:rFonts w:hint="eastAsia" w:ascii="Times New Roman" w:hAnsi="Times New Roman" w:eastAsiaTheme="minorEastAsia" w:cstheme="minorBidi"/>
                <w:color w:val="000000"/>
                <w:spacing w:val="-4"/>
                <w:kern w:val="0"/>
                <w:sz w:val="21"/>
                <w:szCs w:val="21"/>
                <w:lang w:val="en-US" w:eastAsia="zh-CN" w:bidi="ar-SA"/>
              </w:rPr>
            </w:pPr>
            <w:r>
              <w:rPr>
                <w:rFonts w:hint="eastAsia"/>
                <w:color w:val="000000"/>
                <w:spacing w:val="-4"/>
                <w:sz w:val="21"/>
                <w:szCs w:val="21"/>
              </w:rPr>
              <w:t>（四）法律、法规、规章规定的其他情形。</w:t>
            </w:r>
          </w:p>
        </w:tc>
        <w:tc>
          <w:tcPr>
            <w:tcW w:w="2017" w:type="dxa"/>
            <w:shd w:val="clear" w:color="auto" w:fill="auto"/>
            <w:noWrap w:val="0"/>
            <w:vAlign w:val="center"/>
          </w:tcPr>
          <w:p w14:paraId="5E7EF3C3">
            <w:pPr>
              <w:overflowPunct w:val="0"/>
              <w:adjustRightInd w:val="0"/>
              <w:snapToGrid w:val="0"/>
              <w:jc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D5383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608" w:hRule="atLeast"/>
        </w:trPr>
        <w:tc>
          <w:tcPr>
            <w:tcW w:w="432" w:type="dxa"/>
            <w:noWrap w:val="0"/>
            <w:vAlign w:val="center"/>
          </w:tcPr>
          <w:p w14:paraId="461429A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86</w:t>
            </w:r>
          </w:p>
        </w:tc>
        <w:tc>
          <w:tcPr>
            <w:tcW w:w="3112" w:type="dxa"/>
            <w:shd w:val="clear" w:color="auto" w:fill="auto"/>
            <w:noWrap w:val="0"/>
            <w:vAlign w:val="center"/>
          </w:tcPr>
          <w:p w14:paraId="07C0FD6D">
            <w:pPr>
              <w:overflowPunct w:val="0"/>
              <w:adjustRightInd w:val="0"/>
              <w:snapToGrid w:val="0"/>
              <w:textAlignment w:val="center"/>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一类医疗器械生产单位、二类医疗器械经营单位，未依照《医疗器械监督管理条例》规定备案</w:t>
            </w:r>
          </w:p>
        </w:tc>
        <w:tc>
          <w:tcPr>
            <w:tcW w:w="2693" w:type="dxa"/>
            <w:shd w:val="clear" w:color="auto" w:fill="auto"/>
            <w:noWrap w:val="0"/>
            <w:vAlign w:val="center"/>
          </w:tcPr>
          <w:p w14:paraId="02D19A48">
            <w:pPr>
              <w:overflowPunct w:val="0"/>
              <w:adjustRightInd w:val="0"/>
              <w:snapToGrid w:val="0"/>
              <w:textAlignment w:val="center"/>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责令限期改正后及时改正的</w:t>
            </w:r>
          </w:p>
        </w:tc>
        <w:tc>
          <w:tcPr>
            <w:tcW w:w="5812" w:type="dxa"/>
            <w:shd w:val="clear" w:color="auto" w:fill="auto"/>
            <w:noWrap w:val="0"/>
            <w:vAlign w:val="center"/>
          </w:tcPr>
          <w:p w14:paraId="678CFB2E">
            <w:pPr>
              <w:overflowPunct w:val="0"/>
              <w:adjustRightInd w:val="0"/>
              <w:snapToGrid w:val="0"/>
              <w:rPr>
                <w:rFonts w:hint="eastAsia"/>
                <w:color w:val="000000"/>
                <w:spacing w:val="-4"/>
                <w:szCs w:val="21"/>
              </w:rPr>
            </w:pPr>
            <w:r>
              <w:rPr>
                <w:rFonts w:hint="eastAsia"/>
                <w:color w:val="000000"/>
                <w:spacing w:val="-4"/>
                <w:szCs w:val="21"/>
              </w:rPr>
              <w:t>《医疗器械监督管理条例》第十三条　</w:t>
            </w:r>
            <w:r>
              <w:rPr>
                <w:rFonts w:hint="eastAsia"/>
                <w:color w:val="000000"/>
                <w:shd w:val="clear" w:color="auto" w:fill="FFFFFF"/>
              </w:rPr>
              <w:t>第一类医疗器械实行产品备案管理，第二类、第三类医疗器械实行产品注册管理。</w:t>
            </w:r>
          </w:p>
          <w:p w14:paraId="4A9A4A18">
            <w:pPr>
              <w:overflowPunct w:val="0"/>
              <w:adjustRightInd w:val="0"/>
              <w:snapToGrid w:val="0"/>
              <w:rPr>
                <w:rFonts w:hint="eastAsia"/>
                <w:color w:val="000000"/>
                <w:spacing w:val="-4"/>
                <w:szCs w:val="21"/>
              </w:rPr>
            </w:pPr>
            <w:r>
              <w:rPr>
                <w:rFonts w:hint="eastAsia"/>
                <w:color w:val="000000"/>
                <w:spacing w:val="-4"/>
                <w:szCs w:val="21"/>
              </w:rPr>
              <w:t>第四十一条　</w:t>
            </w:r>
            <w:r>
              <w:rPr>
                <w:rFonts w:hint="eastAsia"/>
                <w:color w:val="000000"/>
                <w:shd w:val="clear" w:color="auto" w:fill="FFFFFF"/>
              </w:rPr>
              <w:t>从事第二类医疗器械经营的，由经营企业向所在地设区的市级人民政府负责药品监督管理的部门备案并提交符合本条例第四十条规定条件的有关资料。</w:t>
            </w:r>
          </w:p>
          <w:p w14:paraId="4A21F265">
            <w:pPr>
              <w:pStyle w:val="8"/>
              <w:shd w:val="clear" w:color="auto" w:fill="FFFFFF"/>
              <w:spacing w:before="0" w:beforeAutospacing="0" w:after="0" w:afterAutospacing="0"/>
              <w:jc w:val="both"/>
              <w:rPr>
                <w:color w:val="000000"/>
                <w:kern w:val="2"/>
                <w:sz w:val="21"/>
                <w:shd w:val="clear" w:color="auto" w:fill="FFFFFF"/>
              </w:rPr>
            </w:pPr>
            <w:r>
              <w:rPr>
                <w:rFonts w:hint="eastAsia"/>
                <w:color w:val="000000"/>
                <w:kern w:val="2"/>
                <w:sz w:val="21"/>
                <w:shd w:val="clear" w:color="auto" w:fill="FFFFFF"/>
              </w:rPr>
              <w:t>《医疗器械监督管理条例》第八十四条　有下列情形之一的，由负责药品监督管理的部门向社会公告单位和产品名称，责令限期改正；逾期不改正的，没收违法所得、违法生产经营的医疗器械；违法生产经营的医疗器械货值金额不足1万元的，并处1万元以上5万元以下罚款；货值金额1万元以上的，并处货值金额5倍以上20倍以下罚款；情节严重的，对违法单位的法定代表人、主要负责人、直接负责的主管人员和其他责任人员，没收违法行为发生期间自本单位所获收入，并处所获收入30%以上2倍以下罚款，5年内禁止其从事医疗器械生产经营活动：</w:t>
            </w:r>
          </w:p>
          <w:p w14:paraId="5964E5DC">
            <w:pPr>
              <w:widowControl/>
              <w:shd w:val="clear" w:color="auto" w:fill="FFFFFF"/>
              <w:rPr>
                <w:rFonts w:hint="eastAsia"/>
                <w:color w:val="000000"/>
                <w:shd w:val="clear" w:color="auto" w:fill="FFFFFF"/>
              </w:rPr>
            </w:pPr>
            <w:r>
              <w:rPr>
                <w:rFonts w:hint="eastAsia"/>
                <w:color w:val="000000"/>
                <w:shd w:val="clear" w:color="auto" w:fill="FFFFFF"/>
              </w:rPr>
              <w:t>（一）生产、经营未经备案的第一类医疗器械；</w:t>
            </w:r>
          </w:p>
          <w:p w14:paraId="5A2FA66F">
            <w:pPr>
              <w:widowControl/>
              <w:shd w:val="clear" w:color="auto" w:fill="FFFFFF"/>
              <w:rPr>
                <w:rFonts w:hint="eastAsia"/>
                <w:color w:val="000000"/>
                <w:shd w:val="clear" w:color="auto" w:fill="FFFFFF"/>
              </w:rPr>
            </w:pPr>
            <w:r>
              <w:rPr>
                <w:rFonts w:hint="eastAsia"/>
                <w:color w:val="000000"/>
                <w:shd w:val="clear" w:color="auto" w:fill="FFFFFF"/>
              </w:rPr>
              <w:t>（二）未经备案从事第一类医疗器械生产；</w:t>
            </w:r>
          </w:p>
          <w:p w14:paraId="1FBB0C9C">
            <w:pPr>
              <w:widowControl/>
              <w:shd w:val="clear" w:color="auto" w:fill="FFFFFF"/>
              <w:rPr>
                <w:rFonts w:hint="eastAsia"/>
                <w:color w:val="000000"/>
                <w:shd w:val="clear" w:color="auto" w:fill="FFFFFF"/>
              </w:rPr>
            </w:pPr>
            <w:r>
              <w:rPr>
                <w:rFonts w:hint="eastAsia"/>
                <w:color w:val="000000"/>
                <w:shd w:val="clear" w:color="auto" w:fill="FFFFFF"/>
              </w:rPr>
              <w:t>（三）经营第二类医疗器械，应当备案但未备案；</w:t>
            </w:r>
          </w:p>
          <w:p w14:paraId="55D8AE1C">
            <w:pPr>
              <w:widowControl/>
              <w:shd w:val="clear" w:color="auto" w:fill="FFFFFF"/>
              <w:rPr>
                <w:rFonts w:hint="eastAsia" w:asciiTheme="minorHAnsi" w:hAnsiTheme="minorHAnsi" w:eastAsiaTheme="minorEastAsia" w:cstheme="minorBidi"/>
                <w:color w:val="000000"/>
                <w:kern w:val="2"/>
                <w:sz w:val="21"/>
                <w:szCs w:val="22"/>
                <w:shd w:val="clear" w:color="auto" w:fill="FFFFFF"/>
                <w:lang w:val="en-US" w:eastAsia="zh-CN" w:bidi="ar-SA"/>
              </w:rPr>
            </w:pPr>
            <w:r>
              <w:rPr>
                <w:rFonts w:hint="eastAsia"/>
                <w:color w:val="000000"/>
                <w:shd w:val="clear" w:color="auto" w:fill="FFFFFF"/>
              </w:rPr>
              <w:t>（四）已经备案的资料不符合要求。</w:t>
            </w:r>
          </w:p>
        </w:tc>
        <w:tc>
          <w:tcPr>
            <w:tcW w:w="2017" w:type="dxa"/>
            <w:shd w:val="clear" w:color="auto" w:fill="auto"/>
            <w:noWrap w:val="0"/>
            <w:vAlign w:val="center"/>
          </w:tcPr>
          <w:p w14:paraId="21D9A0C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7FA31F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608" w:hRule="atLeast"/>
        </w:trPr>
        <w:tc>
          <w:tcPr>
            <w:tcW w:w="432" w:type="dxa"/>
            <w:noWrap w:val="0"/>
            <w:vAlign w:val="center"/>
          </w:tcPr>
          <w:p w14:paraId="75B58DF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87</w:t>
            </w:r>
          </w:p>
        </w:tc>
        <w:tc>
          <w:tcPr>
            <w:tcW w:w="3112" w:type="dxa"/>
            <w:shd w:val="clear" w:color="auto" w:fill="auto"/>
            <w:noWrap w:val="0"/>
            <w:vAlign w:val="center"/>
          </w:tcPr>
          <w:p w14:paraId="34F2D5BF">
            <w:pPr>
              <w:overflowPunct w:val="0"/>
              <w:adjustRightInd w:val="0"/>
              <w:snapToGrid w:val="0"/>
              <w:jc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医疗器械拆零销售未附说明书</w:t>
            </w:r>
          </w:p>
        </w:tc>
        <w:tc>
          <w:tcPr>
            <w:tcW w:w="2693" w:type="dxa"/>
            <w:shd w:val="clear" w:color="auto" w:fill="auto"/>
            <w:noWrap w:val="0"/>
            <w:vAlign w:val="center"/>
          </w:tcPr>
          <w:p w14:paraId="6AFCD0FC">
            <w:pPr>
              <w:jc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医疗器械为一般常见性产品（如温度计、创可贴等），责令限期改正后及时改正的</w:t>
            </w:r>
          </w:p>
        </w:tc>
        <w:tc>
          <w:tcPr>
            <w:tcW w:w="5812" w:type="dxa"/>
            <w:shd w:val="clear" w:color="auto" w:fill="auto"/>
            <w:noWrap w:val="0"/>
            <w:vAlign w:val="center"/>
          </w:tcPr>
          <w:p w14:paraId="54A6BED5">
            <w:pPr>
              <w:widowControl/>
              <w:spacing w:line="280" w:lineRule="exact"/>
              <w:jc w:val="left"/>
              <w:rPr>
                <w:rFonts w:hint="eastAsia"/>
                <w:color w:val="000000"/>
                <w:spacing w:val="-4"/>
                <w:kern w:val="0"/>
                <w:szCs w:val="21"/>
              </w:rPr>
            </w:pPr>
            <w:r>
              <w:rPr>
                <w:rFonts w:hint="eastAsia"/>
                <w:color w:val="000000"/>
                <w:spacing w:val="-4"/>
                <w:kern w:val="0"/>
                <w:szCs w:val="21"/>
              </w:rPr>
              <w:t>《医疗器械说明书和标签管理规定》第七条第一款  医疗器械最小销售单元应当附有说明书。</w:t>
            </w:r>
          </w:p>
          <w:p w14:paraId="595E5462">
            <w:pPr>
              <w:widowControl/>
              <w:spacing w:line="280" w:lineRule="exact"/>
              <w:jc w:val="left"/>
              <w:rPr>
                <w:rFonts w:hint="eastAsia"/>
                <w:color w:val="000000"/>
                <w:spacing w:val="-4"/>
                <w:kern w:val="0"/>
                <w:szCs w:val="21"/>
              </w:rPr>
            </w:pPr>
            <w:r>
              <w:rPr>
                <w:rFonts w:hint="eastAsia"/>
                <w:color w:val="000000"/>
                <w:spacing w:val="-4"/>
                <w:kern w:val="0"/>
                <w:szCs w:val="21"/>
              </w:rPr>
              <w:t>《医疗器械监督管理条例》第八十八条  有下列情形之一的，由负责药品监督管理的部门责令改正，处1万元以上5万元以下罚款；拒不改正的，处5万元以上10万元以下罚款；情节严重的，责令停产停业，直至由原发证部门吊销医疗器械生产许可证、医疗器械经营许可证，对违法单位的法定代表人、主要负责人、直接负责的主管人员和其他责任人员，没收违法行为发生期间自本单位所获收入，并处所获收入30%以上2倍以下罚款，5年内禁止其从事医疗器械生产经营活动：</w:t>
            </w:r>
          </w:p>
          <w:p w14:paraId="3C4C2BF7">
            <w:pPr>
              <w:widowControl/>
              <w:spacing w:line="280" w:lineRule="exact"/>
              <w:jc w:val="left"/>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（二）生产、经营说明书、标签不符合本条例规定的医疗器械；</w:t>
            </w:r>
          </w:p>
        </w:tc>
        <w:tc>
          <w:tcPr>
            <w:tcW w:w="2017" w:type="dxa"/>
            <w:shd w:val="clear" w:color="auto" w:fill="auto"/>
            <w:noWrap w:val="0"/>
            <w:vAlign w:val="center"/>
          </w:tcPr>
          <w:p w14:paraId="4AA680A4">
            <w:pPr>
              <w:overflowPunct w:val="0"/>
              <w:adjustRightInd w:val="0"/>
              <w:snapToGrid w:val="0"/>
              <w:jc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292646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556" w:hRule="atLeast"/>
        </w:trPr>
        <w:tc>
          <w:tcPr>
            <w:tcW w:w="432" w:type="dxa"/>
            <w:noWrap w:val="0"/>
            <w:vAlign w:val="center"/>
          </w:tcPr>
          <w:p w14:paraId="50EC02B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88</w:t>
            </w:r>
          </w:p>
        </w:tc>
        <w:tc>
          <w:tcPr>
            <w:tcW w:w="3112" w:type="dxa"/>
            <w:shd w:val="clear" w:color="auto" w:fill="auto"/>
            <w:noWrap w:val="0"/>
            <w:vAlign w:val="center"/>
          </w:tcPr>
          <w:p w14:paraId="5040ECEE">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化妆品标识未标注化妆品名称或者标注名称不符合规定要求</w:t>
            </w:r>
          </w:p>
        </w:tc>
        <w:tc>
          <w:tcPr>
            <w:tcW w:w="2693" w:type="dxa"/>
            <w:shd w:val="clear" w:color="auto" w:fill="auto"/>
            <w:noWrap w:val="0"/>
            <w:vAlign w:val="center"/>
          </w:tcPr>
          <w:p w14:paraId="1C4F5A5D">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责令限期改正后及时改正的</w:t>
            </w:r>
          </w:p>
        </w:tc>
        <w:tc>
          <w:tcPr>
            <w:tcW w:w="5812" w:type="dxa"/>
            <w:shd w:val="clear" w:color="auto" w:fill="auto"/>
            <w:noWrap w:val="0"/>
            <w:vAlign w:val="center"/>
          </w:tcPr>
          <w:p w14:paraId="2C5011ED">
            <w:pPr>
              <w:overflowPunct w:val="0"/>
              <w:adjustRightInd w:val="0"/>
              <w:snapToGrid w:val="0"/>
              <w:jc w:val="left"/>
              <w:rPr>
                <w:rFonts w:hint="eastAsia"/>
                <w:color w:val="000000"/>
                <w:spacing w:val="-4"/>
                <w:szCs w:val="21"/>
              </w:rPr>
            </w:pPr>
            <w:r>
              <w:rPr>
                <w:rFonts w:hint="eastAsia"/>
                <w:color w:val="000000"/>
                <w:spacing w:val="-4"/>
                <w:szCs w:val="21"/>
              </w:rPr>
              <w:t>《化妆品标识管理规定》第六条  化妆品标识应当标注化妆品名称。</w:t>
            </w:r>
          </w:p>
          <w:p w14:paraId="01728404">
            <w:pPr>
              <w:overflowPunct w:val="0"/>
              <w:adjustRightInd w:val="0"/>
              <w:snapToGrid w:val="0"/>
              <w:jc w:val="left"/>
              <w:rPr>
                <w:rFonts w:hint="eastAsia"/>
                <w:color w:val="000000"/>
                <w:spacing w:val="-4"/>
                <w:szCs w:val="21"/>
              </w:rPr>
            </w:pPr>
            <w:r>
              <w:rPr>
                <w:rFonts w:hint="eastAsia"/>
                <w:color w:val="000000"/>
                <w:spacing w:val="-4"/>
                <w:szCs w:val="21"/>
              </w:rPr>
              <w:t>化妆品名称一般由商标名、通用名和属性名三部分组成，并符合下列要求：</w:t>
            </w:r>
          </w:p>
          <w:p w14:paraId="5EE02133">
            <w:pPr>
              <w:overflowPunct w:val="0"/>
              <w:adjustRightInd w:val="0"/>
              <w:snapToGrid w:val="0"/>
              <w:jc w:val="left"/>
              <w:rPr>
                <w:rFonts w:hint="eastAsia"/>
                <w:color w:val="000000"/>
                <w:spacing w:val="-4"/>
                <w:szCs w:val="21"/>
              </w:rPr>
            </w:pPr>
            <w:r>
              <w:rPr>
                <w:rFonts w:hint="eastAsia"/>
                <w:color w:val="000000"/>
                <w:spacing w:val="-4"/>
                <w:szCs w:val="21"/>
              </w:rPr>
              <w:t>（一）商标名应当符合国家有关法律、行政法规的规定；</w:t>
            </w:r>
          </w:p>
          <w:p w14:paraId="5C6490F9">
            <w:pPr>
              <w:overflowPunct w:val="0"/>
              <w:adjustRightInd w:val="0"/>
              <w:snapToGrid w:val="0"/>
              <w:jc w:val="left"/>
              <w:rPr>
                <w:rFonts w:hint="eastAsia"/>
                <w:color w:val="000000"/>
                <w:spacing w:val="-4"/>
                <w:szCs w:val="21"/>
              </w:rPr>
            </w:pPr>
            <w:r>
              <w:rPr>
                <w:rFonts w:hint="eastAsia"/>
                <w:color w:val="000000"/>
                <w:spacing w:val="-4"/>
                <w:szCs w:val="21"/>
              </w:rPr>
              <w:t>（二）通用名应当准确、科学，不得使用明示或者暗示医疗作用的文字，但可以使用表明主要原料、主要功效成分或者产品功能的文字；</w:t>
            </w:r>
          </w:p>
          <w:p w14:paraId="6D358FB6">
            <w:pPr>
              <w:overflowPunct w:val="0"/>
              <w:adjustRightInd w:val="0"/>
              <w:snapToGrid w:val="0"/>
              <w:jc w:val="left"/>
              <w:rPr>
                <w:rFonts w:hint="eastAsia"/>
                <w:color w:val="000000"/>
                <w:spacing w:val="-4"/>
                <w:szCs w:val="21"/>
              </w:rPr>
            </w:pPr>
            <w:r>
              <w:rPr>
                <w:rFonts w:hint="eastAsia"/>
                <w:color w:val="000000"/>
                <w:spacing w:val="-4"/>
                <w:szCs w:val="21"/>
              </w:rPr>
              <w:t>（三）属性名应当表明产品的客观形态，不得使用抽象名称；约定俗成的产品名称，可省略其属性名。</w:t>
            </w:r>
          </w:p>
          <w:p w14:paraId="5E354C30">
            <w:pPr>
              <w:overflowPunct w:val="0"/>
              <w:adjustRightInd w:val="0"/>
              <w:snapToGrid w:val="0"/>
              <w:jc w:val="left"/>
              <w:rPr>
                <w:rFonts w:hint="eastAsia"/>
                <w:color w:val="000000"/>
                <w:spacing w:val="-4"/>
                <w:szCs w:val="21"/>
              </w:rPr>
            </w:pPr>
            <w:r>
              <w:rPr>
                <w:rFonts w:hint="eastAsia"/>
                <w:color w:val="000000"/>
                <w:spacing w:val="-4"/>
                <w:szCs w:val="21"/>
              </w:rPr>
              <w:t>国家标准、行业标准对产品名称有规定的，应当标注标准规定的名称。</w:t>
            </w:r>
          </w:p>
          <w:p w14:paraId="317468F7">
            <w:pPr>
              <w:overflowPunct w:val="0"/>
              <w:adjustRightInd w:val="0"/>
              <w:snapToGrid w:val="0"/>
              <w:jc w:val="left"/>
              <w:rPr>
                <w:rFonts w:hint="eastAsia"/>
                <w:color w:val="000000"/>
                <w:spacing w:val="-4"/>
                <w:szCs w:val="21"/>
              </w:rPr>
            </w:pPr>
            <w:r>
              <w:rPr>
                <w:rFonts w:hint="eastAsia"/>
                <w:color w:val="000000"/>
                <w:spacing w:val="-4"/>
                <w:szCs w:val="21"/>
              </w:rPr>
              <w:t>第七条 化妆品标注“奇特名称”的，应当在相邻位置，以相同字号，按照本规定第六条规定标注产品名称；并不得违反国家相关规定和社会公序良俗。</w:t>
            </w:r>
          </w:p>
          <w:p w14:paraId="3BA75C81">
            <w:pPr>
              <w:overflowPunct w:val="0"/>
              <w:adjustRightInd w:val="0"/>
              <w:snapToGrid w:val="0"/>
              <w:jc w:val="left"/>
              <w:rPr>
                <w:rFonts w:hint="eastAsia"/>
                <w:color w:val="000000"/>
                <w:spacing w:val="-4"/>
                <w:szCs w:val="21"/>
              </w:rPr>
            </w:pPr>
            <w:r>
              <w:rPr>
                <w:rFonts w:hint="eastAsia"/>
                <w:color w:val="000000"/>
                <w:spacing w:val="-4"/>
                <w:szCs w:val="21"/>
              </w:rPr>
              <w:t>同一名称的化妆品，适用不同人群，不同色系、香型的，应当在名称中或明显位置予以标明。</w:t>
            </w:r>
          </w:p>
          <w:p w14:paraId="41D0CEDE">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《化妆品标识管理规定》第二十四条　违反本规定第六条、第七条规定，化妆品标识未标注化妆品名称或者标注名称不符合规定要求的，责令限期改正；逾期未改正的，处以1万元以下罚款。</w:t>
            </w:r>
          </w:p>
        </w:tc>
        <w:tc>
          <w:tcPr>
            <w:tcW w:w="2017" w:type="dxa"/>
            <w:shd w:val="clear" w:color="auto" w:fill="auto"/>
            <w:noWrap w:val="0"/>
            <w:vAlign w:val="center"/>
          </w:tcPr>
          <w:p w14:paraId="55A00C27">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029EBD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406" w:hRule="atLeast"/>
        </w:trPr>
        <w:tc>
          <w:tcPr>
            <w:tcW w:w="432" w:type="dxa"/>
            <w:noWrap w:val="0"/>
            <w:vAlign w:val="center"/>
          </w:tcPr>
          <w:p w14:paraId="275B2E4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89</w:t>
            </w:r>
          </w:p>
        </w:tc>
        <w:tc>
          <w:tcPr>
            <w:tcW w:w="3112" w:type="dxa"/>
            <w:shd w:val="clear" w:color="auto" w:fill="auto"/>
            <w:noWrap w:val="0"/>
            <w:vAlign w:val="center"/>
          </w:tcPr>
          <w:p w14:paraId="2D71F682">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化妆品标识未依法标注化妆品实际生产加工地或者生产者名称、地址</w:t>
            </w:r>
          </w:p>
        </w:tc>
        <w:tc>
          <w:tcPr>
            <w:tcW w:w="2693" w:type="dxa"/>
            <w:shd w:val="clear" w:color="auto" w:fill="auto"/>
            <w:noWrap w:val="0"/>
            <w:vAlign w:val="center"/>
          </w:tcPr>
          <w:p w14:paraId="5FD1CCA5">
            <w:pPr>
              <w:overflowPunct w:val="0"/>
              <w:adjustRightInd w:val="0"/>
              <w:snapToGrid w:val="0"/>
              <w:textAlignment w:val="center"/>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szCs w:val="21"/>
              </w:rPr>
              <w:t>责令限期改正后及时改正的</w:t>
            </w:r>
          </w:p>
        </w:tc>
        <w:tc>
          <w:tcPr>
            <w:tcW w:w="5812" w:type="dxa"/>
            <w:shd w:val="clear" w:color="auto" w:fill="auto"/>
            <w:noWrap w:val="0"/>
            <w:vAlign w:val="center"/>
          </w:tcPr>
          <w:p w14:paraId="03173A1C">
            <w:pPr>
              <w:overflowPunct w:val="0"/>
              <w:adjustRightInd w:val="0"/>
              <w:snapToGrid w:val="0"/>
              <w:rPr>
                <w:rFonts w:hint="eastAsia"/>
                <w:color w:val="000000"/>
                <w:spacing w:val="-4"/>
                <w:szCs w:val="21"/>
              </w:rPr>
            </w:pPr>
            <w:r>
              <w:rPr>
                <w:rFonts w:hint="eastAsia"/>
                <w:color w:val="000000"/>
                <w:spacing w:val="-4"/>
                <w:szCs w:val="21"/>
              </w:rPr>
              <w:t>《化妆品标识管理规定》第八条　化妆品标识应当标注化妆品的实际生产加工地。</w:t>
            </w:r>
          </w:p>
          <w:p w14:paraId="50ABBF4A">
            <w:pPr>
              <w:overflowPunct w:val="0"/>
              <w:adjustRightInd w:val="0"/>
              <w:snapToGrid w:val="0"/>
              <w:rPr>
                <w:rFonts w:hint="eastAsia"/>
                <w:color w:val="000000"/>
                <w:spacing w:val="-4"/>
                <w:szCs w:val="21"/>
              </w:rPr>
            </w:pPr>
            <w:r>
              <w:rPr>
                <w:rFonts w:hint="eastAsia"/>
                <w:color w:val="000000"/>
                <w:spacing w:val="-4"/>
                <w:szCs w:val="21"/>
              </w:rPr>
              <w:t>化妆品实际生产加工地应当按照行政区划至少标注到省级地域。</w:t>
            </w:r>
          </w:p>
          <w:p w14:paraId="10CE9594">
            <w:pPr>
              <w:overflowPunct w:val="0"/>
              <w:adjustRightInd w:val="0"/>
              <w:snapToGrid w:val="0"/>
              <w:rPr>
                <w:rFonts w:hint="eastAsia"/>
                <w:color w:val="000000"/>
                <w:spacing w:val="-4"/>
                <w:szCs w:val="21"/>
              </w:rPr>
            </w:pPr>
            <w:r>
              <w:rPr>
                <w:rFonts w:hint="eastAsia"/>
                <w:color w:val="000000"/>
                <w:spacing w:val="-4"/>
                <w:szCs w:val="21"/>
              </w:rPr>
              <w:t>第九条　化妆品标识应当标注生产者的名称和地址。生产者名称和地址应当是依法登记注册、能承担产品质量责任的生产者的名称、地址。</w:t>
            </w:r>
          </w:p>
          <w:p w14:paraId="737EF386">
            <w:pPr>
              <w:overflowPunct w:val="0"/>
              <w:adjustRightInd w:val="0"/>
              <w:snapToGrid w:val="0"/>
              <w:rPr>
                <w:rFonts w:hint="eastAsia"/>
                <w:color w:val="000000"/>
                <w:spacing w:val="-4"/>
                <w:szCs w:val="21"/>
              </w:rPr>
            </w:pPr>
            <w:r>
              <w:rPr>
                <w:rFonts w:hint="eastAsia"/>
                <w:color w:val="000000"/>
                <w:spacing w:val="-4"/>
                <w:szCs w:val="21"/>
              </w:rPr>
              <w:t>有下列情形之一的，生产者的名称、地址按照下列规定予以标注：</w:t>
            </w:r>
          </w:p>
          <w:p w14:paraId="3FFB1A51">
            <w:pPr>
              <w:overflowPunct w:val="0"/>
              <w:adjustRightInd w:val="0"/>
              <w:snapToGrid w:val="0"/>
              <w:rPr>
                <w:rFonts w:hint="eastAsia"/>
                <w:color w:val="000000"/>
                <w:spacing w:val="-4"/>
                <w:szCs w:val="21"/>
              </w:rPr>
            </w:pPr>
            <w:r>
              <w:rPr>
                <w:rFonts w:hint="eastAsia"/>
                <w:color w:val="000000"/>
                <w:spacing w:val="-4"/>
                <w:szCs w:val="21"/>
              </w:rPr>
              <w:t>（一）依法独立承担法律责任的集团公司或者其子公司，应当标注各自的名称和地址。</w:t>
            </w:r>
          </w:p>
          <w:p w14:paraId="2DA44ADA">
            <w:pPr>
              <w:overflowPunct w:val="0"/>
              <w:adjustRightInd w:val="0"/>
              <w:snapToGrid w:val="0"/>
              <w:rPr>
                <w:rFonts w:hint="eastAsia"/>
                <w:color w:val="000000"/>
                <w:spacing w:val="-4"/>
                <w:szCs w:val="21"/>
              </w:rPr>
            </w:pPr>
            <w:r>
              <w:rPr>
                <w:rFonts w:hint="eastAsia"/>
                <w:color w:val="000000"/>
                <w:spacing w:val="-4"/>
                <w:szCs w:val="21"/>
              </w:rPr>
              <w:t>（二）依法不能独立承担法律责任的集团公司的分公司或者集团公司的生产基地，可以标注集团公司和分公司（生产基地）的名称、地址，也可以仅标注集团公司的名称、地址。</w:t>
            </w:r>
          </w:p>
          <w:p w14:paraId="6C2333C5">
            <w:pPr>
              <w:overflowPunct w:val="0"/>
              <w:adjustRightInd w:val="0"/>
              <w:snapToGrid w:val="0"/>
              <w:rPr>
                <w:rFonts w:hint="eastAsia"/>
                <w:color w:val="000000"/>
                <w:spacing w:val="-4"/>
                <w:szCs w:val="21"/>
              </w:rPr>
            </w:pPr>
            <w:r>
              <w:rPr>
                <w:rFonts w:hint="eastAsia"/>
                <w:color w:val="000000"/>
                <w:spacing w:val="-4"/>
                <w:szCs w:val="21"/>
              </w:rPr>
              <w:t>（三）实施委托生产加工的化妆品，委托企业具有其委托加工的化妆品生产许可证的，应当标注委托企业的名称、地址和被委托企业的名称，或者仅标注委托企业的名称和地址；委托企业不具有其委托加工化妆品生产许可证的，应当标注委托企业的名称、地址和被委托企业的名称。</w:t>
            </w:r>
          </w:p>
          <w:p w14:paraId="48139852">
            <w:pPr>
              <w:overflowPunct w:val="0"/>
              <w:adjustRightInd w:val="0"/>
              <w:snapToGrid w:val="0"/>
              <w:rPr>
                <w:rFonts w:hint="eastAsia"/>
                <w:color w:val="000000"/>
                <w:spacing w:val="-4"/>
                <w:szCs w:val="21"/>
              </w:rPr>
            </w:pPr>
            <w:r>
              <w:rPr>
                <w:rFonts w:hint="eastAsia"/>
                <w:color w:val="000000"/>
                <w:spacing w:val="-4"/>
                <w:szCs w:val="21"/>
              </w:rPr>
              <w:t>（四）分装化妆品应当分别标注实际生产加工企业的名称和分装者的名称及地址，并注明分装字样。</w:t>
            </w:r>
          </w:p>
          <w:p w14:paraId="4A8C1B34">
            <w:pPr>
              <w:overflowPunct w:val="0"/>
              <w:adjustRightInd w:val="0"/>
              <w:snapToGrid w:val="0"/>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《化妆品标识管理规定》第二十五条  违反本规定第八条、第九条，化妆品标识未依法标注化妆品实际生产加工地或者生产者名称、地址的，责令限期改正；逾期未改正的，处以1万元以下罚款。</w:t>
            </w:r>
          </w:p>
        </w:tc>
        <w:tc>
          <w:tcPr>
            <w:tcW w:w="2017" w:type="dxa"/>
            <w:shd w:val="clear" w:color="auto" w:fill="auto"/>
            <w:noWrap w:val="0"/>
            <w:vAlign w:val="center"/>
          </w:tcPr>
          <w:p w14:paraId="16FD195E">
            <w:pPr>
              <w:overflowPunct w:val="0"/>
              <w:adjustRightInd w:val="0"/>
              <w:snapToGrid w:val="0"/>
              <w:rPr>
                <w:rFonts w:hint="eastAsia" w:asciiTheme="minorHAnsi" w:hAnsiTheme="minorHAnsi" w:eastAsiaTheme="minorEastAsia" w:cstheme="minorBidi"/>
                <w:color w:val="000000"/>
                <w:spacing w:val="-4"/>
                <w:kern w:val="0"/>
                <w:sz w:val="21"/>
                <w:szCs w:val="21"/>
                <w:lang w:val="en-US" w:eastAsia="zh-CN" w:bidi="ar-SA"/>
              </w:rPr>
            </w:pPr>
            <w:r>
              <w:rPr>
                <w:rFonts w:hint="eastAsia"/>
                <w:color w:val="000000"/>
                <w:spacing w:val="-4"/>
                <w:kern w:val="0"/>
                <w:szCs w:val="21"/>
              </w:rPr>
              <w:t>苏州市市场监督管理局及各市（区）市场监督管理局</w:t>
            </w:r>
          </w:p>
        </w:tc>
      </w:tr>
      <w:tr w14:paraId="52BC18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40" w:hRule="atLeast"/>
        </w:trPr>
        <w:tc>
          <w:tcPr>
            <w:tcW w:w="432" w:type="dxa"/>
            <w:noWrap w:val="0"/>
            <w:vAlign w:val="center"/>
          </w:tcPr>
          <w:p w14:paraId="52D2CFD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90</w:t>
            </w:r>
          </w:p>
        </w:tc>
        <w:tc>
          <w:tcPr>
            <w:tcW w:w="3112" w:type="dxa"/>
            <w:shd w:val="clear" w:color="auto" w:fill="auto"/>
            <w:noWrap w:val="0"/>
            <w:vAlign w:val="center"/>
          </w:tcPr>
          <w:p w14:paraId="2E35828F">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color w:val="000000"/>
                <w:spacing w:val="-4"/>
                <w:szCs w:val="21"/>
              </w:rPr>
              <w:t>化妆品销售者销售的化妆品违反法律、法规、规章、强制性国家标准、技术规范</w:t>
            </w:r>
          </w:p>
        </w:tc>
        <w:tc>
          <w:tcPr>
            <w:tcW w:w="2693" w:type="dxa"/>
            <w:shd w:val="clear" w:color="auto" w:fill="auto"/>
            <w:noWrap w:val="0"/>
            <w:vAlign w:val="center"/>
          </w:tcPr>
          <w:p w14:paraId="2891CD08">
            <w:pPr>
              <w:overflowPunct w:val="0"/>
              <w:adjustRightInd w:val="0"/>
              <w:snapToGrid w:val="0"/>
              <w:jc w:val="left"/>
              <w:textAlignment w:val="center"/>
              <w:rPr>
                <w:rFonts w:hint="eastAsia" w:ascii="宋体" w:hAnsi="宋体"/>
                <w:color w:val="000000"/>
                <w:spacing w:val="-4"/>
                <w:kern w:val="0"/>
                <w:szCs w:val="21"/>
              </w:rPr>
            </w:pPr>
            <w:r>
              <w:rPr>
                <w:rFonts w:hint="eastAsia" w:ascii="宋体" w:hAnsi="宋体"/>
                <w:color w:val="000000"/>
                <w:spacing w:val="-4"/>
                <w:kern w:val="0"/>
                <w:szCs w:val="21"/>
              </w:rPr>
              <w:t>同时具备以下条件：</w:t>
            </w:r>
          </w:p>
          <w:p w14:paraId="1C6C24A1">
            <w:pPr>
              <w:overflowPunct w:val="0"/>
              <w:adjustRightInd w:val="0"/>
              <w:snapToGrid w:val="0"/>
              <w:jc w:val="left"/>
              <w:rPr>
                <w:rFonts w:hint="eastAsia"/>
                <w:color w:val="000000"/>
                <w:spacing w:val="-4"/>
                <w:szCs w:val="21"/>
              </w:rPr>
            </w:pPr>
            <w:r>
              <w:rPr>
                <w:rFonts w:hint="eastAsia"/>
                <w:color w:val="000000"/>
                <w:spacing w:val="-4"/>
                <w:szCs w:val="21"/>
              </w:rPr>
              <w:t>1.</w:t>
            </w:r>
            <w:r>
              <w:rPr>
                <w:color w:val="000000"/>
                <w:spacing w:val="-4"/>
                <w:szCs w:val="21"/>
              </w:rPr>
              <w:t>初次违法；</w:t>
            </w:r>
          </w:p>
          <w:p w14:paraId="39B6E04B">
            <w:pPr>
              <w:overflowPunct w:val="0"/>
              <w:adjustRightInd w:val="0"/>
              <w:snapToGrid w:val="0"/>
              <w:jc w:val="left"/>
              <w:rPr>
                <w:rFonts w:hint="eastAsia"/>
                <w:color w:val="000000"/>
                <w:spacing w:val="-4"/>
                <w:szCs w:val="21"/>
              </w:rPr>
            </w:pPr>
            <w:r>
              <w:rPr>
                <w:rFonts w:hint="eastAsia"/>
                <w:color w:val="000000"/>
                <w:spacing w:val="-4"/>
                <w:szCs w:val="21"/>
              </w:rPr>
              <w:t>2.货</w:t>
            </w:r>
            <w:r>
              <w:rPr>
                <w:color w:val="000000"/>
                <w:spacing w:val="-4"/>
                <w:szCs w:val="21"/>
              </w:rPr>
              <w:t>值金额在</w:t>
            </w:r>
            <w:r>
              <w:rPr>
                <w:rFonts w:hint="eastAsia"/>
                <w:color w:val="000000"/>
                <w:spacing w:val="-4"/>
                <w:szCs w:val="21"/>
              </w:rPr>
              <w:t>3000元以下</w:t>
            </w:r>
            <w:r>
              <w:rPr>
                <w:color w:val="000000"/>
                <w:spacing w:val="-4"/>
                <w:szCs w:val="21"/>
              </w:rPr>
              <w:t>；</w:t>
            </w:r>
          </w:p>
          <w:p w14:paraId="4AD8D9D6">
            <w:pPr>
              <w:overflowPunct w:val="0"/>
              <w:adjustRightInd w:val="0"/>
              <w:snapToGrid w:val="0"/>
              <w:jc w:val="left"/>
              <w:rPr>
                <w:rFonts w:hint="eastAsia"/>
                <w:color w:val="000000"/>
                <w:spacing w:val="-4"/>
                <w:szCs w:val="21"/>
              </w:rPr>
            </w:pPr>
            <w:r>
              <w:rPr>
                <w:rFonts w:hint="eastAsia"/>
                <w:color w:val="000000"/>
                <w:spacing w:val="-4"/>
                <w:szCs w:val="21"/>
              </w:rPr>
              <w:t>3.没有</w:t>
            </w:r>
            <w:r>
              <w:rPr>
                <w:color w:val="000000"/>
                <w:spacing w:val="-4"/>
                <w:szCs w:val="21"/>
              </w:rPr>
              <w:t>危害后果或后果轻微；</w:t>
            </w:r>
          </w:p>
          <w:p w14:paraId="4EC9D740">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4．</w:t>
            </w:r>
            <w:r>
              <w:rPr>
                <w:color w:val="000000"/>
                <w:spacing w:val="-4"/>
                <w:szCs w:val="21"/>
              </w:rPr>
              <w:t>及时改正。</w:t>
            </w:r>
          </w:p>
        </w:tc>
        <w:tc>
          <w:tcPr>
            <w:tcW w:w="5812" w:type="dxa"/>
            <w:shd w:val="clear" w:color="auto" w:fill="auto"/>
            <w:noWrap w:val="0"/>
            <w:vAlign w:val="center"/>
          </w:tcPr>
          <w:p w14:paraId="49EB93E1">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color w:val="000000"/>
                <w:spacing w:val="-4"/>
                <w:szCs w:val="21"/>
              </w:rPr>
              <w:t>《化妆品生产经营监督管理办法》（自2022年1月1日起施行）第六十二条第一款 化妆品生产经营者违反法律、法规、规章、强制性国家标准、技术规范，属于初次违法且危害后果轻微并及时改正的，可以不予行政处罚。</w:t>
            </w:r>
          </w:p>
        </w:tc>
        <w:tc>
          <w:tcPr>
            <w:tcW w:w="2017" w:type="dxa"/>
            <w:shd w:val="clear" w:color="auto" w:fill="auto"/>
            <w:noWrap w:val="0"/>
            <w:vAlign w:val="center"/>
          </w:tcPr>
          <w:p w14:paraId="26A9654A">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kern w:val="0"/>
                <w:szCs w:val="21"/>
              </w:rPr>
              <w:t>苏州市市场监督管理局及各市（区）市场监督管理局</w:t>
            </w:r>
          </w:p>
        </w:tc>
      </w:tr>
      <w:tr w14:paraId="57860E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84" w:hRule="atLeast"/>
        </w:trPr>
        <w:tc>
          <w:tcPr>
            <w:tcW w:w="432" w:type="dxa"/>
            <w:noWrap w:val="0"/>
            <w:vAlign w:val="center"/>
          </w:tcPr>
          <w:p w14:paraId="0BBBF73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91</w:t>
            </w:r>
          </w:p>
        </w:tc>
        <w:tc>
          <w:tcPr>
            <w:tcW w:w="3112" w:type="dxa"/>
            <w:shd w:val="clear" w:color="auto" w:fill="auto"/>
            <w:noWrap w:val="0"/>
            <w:vAlign w:val="center"/>
          </w:tcPr>
          <w:p w14:paraId="0462FD2E">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经销的商品印有未经核准注册、备案或者伪造的商品条码的</w:t>
            </w:r>
          </w:p>
        </w:tc>
        <w:tc>
          <w:tcPr>
            <w:tcW w:w="2693" w:type="dxa"/>
            <w:shd w:val="clear" w:color="auto" w:fill="auto"/>
            <w:noWrap w:val="0"/>
            <w:vAlign w:val="center"/>
          </w:tcPr>
          <w:p w14:paraId="008F025D">
            <w:pPr>
              <w:overflowPunct w:val="0"/>
              <w:adjustRightInd w:val="0"/>
              <w:snapToGrid w:val="0"/>
              <w:jc w:val="left"/>
              <w:textAlignment w:val="center"/>
              <w:rPr>
                <w:rFonts w:hint="eastAsia"/>
                <w:color w:val="000000"/>
                <w:spacing w:val="-4"/>
                <w:szCs w:val="21"/>
              </w:rPr>
            </w:pPr>
            <w:r>
              <w:rPr>
                <w:rFonts w:hint="eastAsia"/>
                <w:color w:val="000000"/>
                <w:spacing w:val="-4"/>
                <w:szCs w:val="21"/>
              </w:rPr>
              <w:t>同时具备以下条件：</w:t>
            </w:r>
          </w:p>
          <w:p w14:paraId="07CA97E7">
            <w:pPr>
              <w:rPr>
                <w:color w:val="000000"/>
                <w:spacing w:val="-4"/>
                <w:szCs w:val="21"/>
              </w:rPr>
            </w:pPr>
            <w:r>
              <w:rPr>
                <w:rFonts w:hint="eastAsia"/>
                <w:color w:val="000000"/>
                <w:spacing w:val="-4"/>
                <w:szCs w:val="21"/>
              </w:rPr>
              <w:t>1.初次违法；</w:t>
            </w:r>
          </w:p>
          <w:p w14:paraId="52764C60">
            <w:pPr>
              <w:rPr>
                <w:color w:val="000000"/>
                <w:spacing w:val="-4"/>
                <w:szCs w:val="21"/>
              </w:rPr>
            </w:pPr>
            <w:r>
              <w:rPr>
                <w:rFonts w:hint="eastAsia"/>
                <w:color w:val="000000"/>
                <w:spacing w:val="-4"/>
                <w:szCs w:val="21"/>
              </w:rPr>
              <w:t>2.逾期时间较短；</w:t>
            </w:r>
          </w:p>
          <w:p w14:paraId="752FD718">
            <w:pPr>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3.及时改正。</w:t>
            </w:r>
          </w:p>
        </w:tc>
        <w:tc>
          <w:tcPr>
            <w:tcW w:w="5812" w:type="dxa"/>
            <w:shd w:val="clear" w:color="auto" w:fill="auto"/>
            <w:noWrap w:val="0"/>
            <w:vAlign w:val="center"/>
          </w:tcPr>
          <w:p w14:paraId="0EC6D70C">
            <w:pPr>
              <w:overflowPunct w:val="0"/>
              <w:adjustRightInd w:val="0"/>
              <w:snapToGrid w:val="0"/>
              <w:jc w:val="left"/>
              <w:textAlignment w:val="center"/>
              <w:rPr>
                <w:color w:val="000000"/>
                <w:spacing w:val="-4"/>
                <w:szCs w:val="21"/>
              </w:rPr>
            </w:pPr>
            <w:r>
              <w:rPr>
                <w:color w:val="000000"/>
                <w:spacing w:val="-4"/>
                <w:szCs w:val="21"/>
              </w:rPr>
              <w:t>《商品条码管理办法》第二十一条   任何单位和个人未经核准注册不得使用厂商识别代码和相应的条码。</w:t>
            </w:r>
          </w:p>
          <w:p w14:paraId="47D21AB2">
            <w:pPr>
              <w:overflowPunct w:val="0"/>
              <w:adjustRightInd w:val="0"/>
              <w:snapToGrid w:val="0"/>
              <w:jc w:val="left"/>
              <w:textAlignment w:val="center"/>
              <w:rPr>
                <w:rFonts w:hint="eastAsia"/>
                <w:color w:val="000000"/>
                <w:spacing w:val="-4"/>
                <w:szCs w:val="21"/>
              </w:rPr>
            </w:pPr>
            <w:r>
              <w:rPr>
                <w:color w:val="000000"/>
                <w:spacing w:val="-4"/>
                <w:szCs w:val="21"/>
              </w:rPr>
              <w:t>任何单位和个人不得在商品包装上使用其他条码冒充商品条码；不得伪造商品条码。</w:t>
            </w:r>
          </w:p>
          <w:p w14:paraId="19C10296">
            <w:pPr>
              <w:overflowPunct w:val="0"/>
              <w:adjustRightInd w:val="0"/>
              <w:snapToGrid w:val="0"/>
              <w:jc w:val="left"/>
              <w:textAlignment w:val="center"/>
              <w:rPr>
                <w:color w:val="000000"/>
                <w:spacing w:val="-4"/>
                <w:szCs w:val="21"/>
              </w:rPr>
            </w:pPr>
            <w:r>
              <w:rPr>
                <w:color w:val="000000"/>
                <w:spacing w:val="-4"/>
                <w:szCs w:val="21"/>
              </w:rPr>
              <w:t>《商品条码管理办法》第二十四条   销售者不得经销违反第二十一条规定的商品。</w:t>
            </w:r>
          </w:p>
          <w:p w14:paraId="10B39FB0">
            <w:pPr>
              <w:overflowPunct w:val="0"/>
              <w:adjustRightInd w:val="0"/>
              <w:snapToGrid w:val="0"/>
              <w:jc w:val="left"/>
              <w:textAlignment w:val="center"/>
              <w:rPr>
                <w:rFonts w:hint="eastAsia" w:asciiTheme="minorHAnsi" w:hAnsiTheme="minorHAnsi" w:eastAsiaTheme="minorEastAsia" w:cstheme="minorBidi"/>
                <w:color w:val="000000"/>
                <w:spacing w:val="-4"/>
                <w:kern w:val="2"/>
                <w:sz w:val="21"/>
                <w:szCs w:val="21"/>
                <w:lang w:val="en-US" w:eastAsia="zh-CN" w:bidi="ar-SA"/>
              </w:rPr>
            </w:pPr>
            <w:r>
              <w:rPr>
                <w:color w:val="000000"/>
                <w:spacing w:val="-4"/>
                <w:szCs w:val="21"/>
              </w:rPr>
              <w:t>第三十六条   经销的商品印有未经核准注册、备案或者伪造的商品条码的，责令其改正，处以10000元以下罚款。</w:t>
            </w:r>
          </w:p>
        </w:tc>
        <w:tc>
          <w:tcPr>
            <w:tcW w:w="2017" w:type="dxa"/>
            <w:shd w:val="clear" w:color="auto" w:fill="auto"/>
            <w:noWrap w:val="0"/>
            <w:vAlign w:val="center"/>
          </w:tcPr>
          <w:p w14:paraId="16FF0580">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苏州市市场监督管理局及各市（区）市场监督管理局</w:t>
            </w:r>
          </w:p>
        </w:tc>
      </w:tr>
      <w:tr w14:paraId="7CC2FE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84" w:hRule="atLeast"/>
        </w:trPr>
        <w:tc>
          <w:tcPr>
            <w:tcW w:w="432" w:type="dxa"/>
            <w:noWrap w:val="0"/>
            <w:vAlign w:val="center"/>
          </w:tcPr>
          <w:p w14:paraId="640835E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92</w:t>
            </w:r>
          </w:p>
        </w:tc>
        <w:tc>
          <w:tcPr>
            <w:tcW w:w="3112" w:type="dxa"/>
            <w:shd w:val="clear" w:color="auto" w:fill="auto"/>
            <w:noWrap w:val="0"/>
            <w:vAlign w:val="center"/>
          </w:tcPr>
          <w:p w14:paraId="12E17F54">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取得工业产品生产许可的企业未按规定定期提交自查报告</w:t>
            </w:r>
          </w:p>
        </w:tc>
        <w:tc>
          <w:tcPr>
            <w:tcW w:w="2693" w:type="dxa"/>
            <w:shd w:val="clear" w:color="auto" w:fill="auto"/>
            <w:noWrap w:val="0"/>
            <w:vAlign w:val="center"/>
          </w:tcPr>
          <w:p w14:paraId="3C8B4FC6">
            <w:pPr>
              <w:rPr>
                <w:color w:val="000000"/>
                <w:spacing w:val="-4"/>
                <w:szCs w:val="21"/>
              </w:rPr>
            </w:pPr>
            <w:r>
              <w:rPr>
                <w:rFonts w:hint="eastAsia"/>
                <w:color w:val="000000"/>
                <w:spacing w:val="-4"/>
                <w:szCs w:val="21"/>
              </w:rPr>
              <w:t>同时具备以下条件：</w:t>
            </w:r>
          </w:p>
          <w:p w14:paraId="7033DEF8">
            <w:pPr>
              <w:rPr>
                <w:color w:val="000000"/>
                <w:spacing w:val="-4"/>
                <w:szCs w:val="21"/>
              </w:rPr>
            </w:pPr>
            <w:r>
              <w:rPr>
                <w:rFonts w:hint="eastAsia"/>
                <w:color w:val="000000"/>
                <w:spacing w:val="-4"/>
                <w:szCs w:val="21"/>
              </w:rPr>
              <w:t>1.初次违法；</w:t>
            </w:r>
          </w:p>
          <w:p w14:paraId="4E01BE5F">
            <w:pPr>
              <w:rPr>
                <w:color w:val="000000"/>
                <w:spacing w:val="-4"/>
                <w:szCs w:val="21"/>
              </w:rPr>
            </w:pPr>
            <w:r>
              <w:rPr>
                <w:rFonts w:hint="eastAsia"/>
                <w:color w:val="000000"/>
                <w:spacing w:val="-4"/>
                <w:szCs w:val="21"/>
              </w:rPr>
              <w:t>2.逾期时间较短；</w:t>
            </w:r>
          </w:p>
          <w:p w14:paraId="5852C8CD">
            <w:pPr>
              <w:rPr>
                <w:color w:val="000000"/>
                <w:spacing w:val="-4"/>
                <w:szCs w:val="21"/>
              </w:rPr>
            </w:pPr>
            <w:r>
              <w:rPr>
                <w:rFonts w:hint="eastAsia"/>
                <w:color w:val="000000"/>
                <w:spacing w:val="-4"/>
                <w:szCs w:val="21"/>
              </w:rPr>
              <w:t>3.及时改正。</w:t>
            </w:r>
          </w:p>
          <w:p w14:paraId="7168E88E">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p>
        </w:tc>
        <w:tc>
          <w:tcPr>
            <w:tcW w:w="5812" w:type="dxa"/>
            <w:shd w:val="clear" w:color="auto" w:fill="auto"/>
            <w:noWrap w:val="0"/>
            <w:vAlign w:val="center"/>
          </w:tcPr>
          <w:p w14:paraId="3B146542">
            <w:pPr>
              <w:overflowPunct w:val="0"/>
              <w:adjustRightInd w:val="0"/>
              <w:snapToGrid w:val="0"/>
              <w:jc w:val="left"/>
              <w:textAlignment w:val="center"/>
              <w:rPr>
                <w:color w:val="000000"/>
                <w:spacing w:val="-4"/>
                <w:szCs w:val="21"/>
              </w:rPr>
            </w:pPr>
            <w:r>
              <w:rPr>
                <w:rFonts w:hint="eastAsia"/>
                <w:color w:val="000000"/>
                <w:spacing w:val="-4"/>
                <w:szCs w:val="21"/>
              </w:rPr>
              <w:t>《工业产品生产许可证管理条例实施办法》第四十八条  自取得生产许可之日起，企业应当按年度向省级质量技术监督局或者其委托的市县级质量技术监督局提交自查报告。获证未满一年的企业，可以于下一年度提交自查报告。企业自查报告应当包括以下内容：（一）取得生产许可规定条件的保持情况；（二）企业名称、住所、生产地址等变化情况；（三）企业生产状况及产品变化情况；（四）生产许可证证书、生产许可证标志和编号使用情况；（五）行政机关对产品质量的监督检查情况；（六）企业应当说明的其他情况。</w:t>
            </w:r>
          </w:p>
          <w:p w14:paraId="192476A0">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《工业产品生产许可证管理条例实施办法》第五十五条  违反本办法第四十八条规定，企业未向省级质量技术监督局或者其委托的市县级质量技术监督局提交自查报告的，责令改正，处一万元以下罚款。</w:t>
            </w:r>
          </w:p>
        </w:tc>
        <w:tc>
          <w:tcPr>
            <w:tcW w:w="2017" w:type="dxa"/>
            <w:shd w:val="clear" w:color="auto" w:fill="auto"/>
            <w:noWrap w:val="0"/>
            <w:vAlign w:val="center"/>
          </w:tcPr>
          <w:p w14:paraId="3FE079B6">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苏州市市场监督管理局及各市（区）市场监督管理局</w:t>
            </w:r>
          </w:p>
        </w:tc>
      </w:tr>
      <w:tr w14:paraId="4BDED9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32" w:type="dxa"/>
            <w:noWrap w:val="0"/>
            <w:vAlign w:val="center"/>
          </w:tcPr>
          <w:p w14:paraId="13BAB17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93</w:t>
            </w:r>
          </w:p>
        </w:tc>
        <w:tc>
          <w:tcPr>
            <w:tcW w:w="3112" w:type="dxa"/>
            <w:shd w:val="clear" w:color="auto" w:fill="auto"/>
            <w:noWrap w:val="0"/>
            <w:vAlign w:val="center"/>
          </w:tcPr>
          <w:p w14:paraId="1F0C5AF2">
            <w:pPr>
              <w:widowControl/>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销售的产品（含食品相关产品）仅标签标识（标志）项目不符合相关标准技术要求，导致检验结论为不合格</w:t>
            </w:r>
          </w:p>
        </w:tc>
        <w:tc>
          <w:tcPr>
            <w:tcW w:w="2693" w:type="dxa"/>
            <w:shd w:val="clear" w:color="auto" w:fill="auto"/>
            <w:noWrap w:val="0"/>
            <w:vAlign w:val="center"/>
          </w:tcPr>
          <w:p w14:paraId="3DF50D22">
            <w:pPr>
              <w:overflowPunct w:val="0"/>
              <w:adjustRightInd w:val="0"/>
              <w:snapToGrid w:val="0"/>
              <w:jc w:val="left"/>
              <w:textAlignment w:val="center"/>
              <w:rPr>
                <w:rFonts w:hint="eastAsia"/>
                <w:color w:val="000000"/>
                <w:spacing w:val="-4"/>
                <w:szCs w:val="21"/>
              </w:rPr>
            </w:pPr>
            <w:r>
              <w:rPr>
                <w:rFonts w:hint="eastAsia"/>
                <w:color w:val="000000"/>
                <w:spacing w:val="-4"/>
                <w:szCs w:val="21"/>
              </w:rPr>
              <w:t>同时具备以下条件：</w:t>
            </w:r>
          </w:p>
          <w:p w14:paraId="2D3A5554">
            <w:pPr>
              <w:overflowPunct w:val="0"/>
              <w:adjustRightInd w:val="0"/>
              <w:snapToGrid w:val="0"/>
              <w:jc w:val="left"/>
              <w:rPr>
                <w:rFonts w:hint="eastAsia"/>
                <w:color w:val="000000"/>
                <w:spacing w:val="-4"/>
                <w:szCs w:val="21"/>
              </w:rPr>
            </w:pPr>
            <w:r>
              <w:rPr>
                <w:rFonts w:hint="eastAsia"/>
                <w:color w:val="000000"/>
                <w:spacing w:val="-4"/>
                <w:szCs w:val="21"/>
              </w:rPr>
              <w:t>1.不属于同一产品再次发生违法行为的情形；</w:t>
            </w:r>
          </w:p>
          <w:p w14:paraId="4468BFF1">
            <w:pPr>
              <w:overflowPunct w:val="0"/>
              <w:adjustRightInd w:val="0"/>
              <w:snapToGrid w:val="0"/>
              <w:jc w:val="left"/>
              <w:rPr>
                <w:rFonts w:hint="eastAsia"/>
                <w:color w:val="000000"/>
                <w:spacing w:val="-4"/>
                <w:szCs w:val="21"/>
              </w:rPr>
            </w:pPr>
            <w:r>
              <w:rPr>
                <w:rFonts w:hint="eastAsia"/>
                <w:color w:val="000000"/>
                <w:spacing w:val="-4"/>
                <w:szCs w:val="21"/>
              </w:rPr>
              <w:t>2.立即自行改正，或在行政机关责令改正或要求的期限内改正；</w:t>
            </w:r>
          </w:p>
          <w:p w14:paraId="26291CA3">
            <w:pPr>
              <w:overflowPunct w:val="0"/>
              <w:adjustRightInd w:val="0"/>
              <w:snapToGrid w:val="0"/>
              <w:jc w:val="left"/>
              <w:rPr>
                <w:rFonts w:hint="eastAsia"/>
                <w:color w:val="000000"/>
                <w:spacing w:val="-4"/>
                <w:szCs w:val="21"/>
              </w:rPr>
            </w:pPr>
            <w:r>
              <w:rPr>
                <w:rFonts w:hint="eastAsia"/>
                <w:color w:val="000000"/>
                <w:spacing w:val="-4"/>
                <w:szCs w:val="21"/>
              </w:rPr>
              <w:t>3.产品实物质量符合相关标准技术要求；</w:t>
            </w:r>
          </w:p>
          <w:p w14:paraId="69C6F4EA">
            <w:pPr>
              <w:overflowPunct w:val="0"/>
              <w:adjustRightInd w:val="0"/>
              <w:snapToGrid w:val="0"/>
              <w:jc w:val="left"/>
              <w:rPr>
                <w:rFonts w:hint="eastAsia"/>
                <w:color w:val="000000"/>
                <w:spacing w:val="-4"/>
                <w:szCs w:val="21"/>
              </w:rPr>
            </w:pPr>
            <w:r>
              <w:rPr>
                <w:rFonts w:hint="eastAsia"/>
                <w:color w:val="000000"/>
                <w:spacing w:val="-4"/>
                <w:szCs w:val="21"/>
              </w:rPr>
              <w:t>4.标签标识（标志）内容真实；</w:t>
            </w:r>
          </w:p>
          <w:p w14:paraId="7F333FE0">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5.未造成危害后果。</w:t>
            </w:r>
          </w:p>
        </w:tc>
        <w:tc>
          <w:tcPr>
            <w:tcW w:w="5812" w:type="dxa"/>
            <w:shd w:val="clear" w:color="auto" w:fill="auto"/>
            <w:noWrap w:val="0"/>
            <w:vAlign w:val="center"/>
          </w:tcPr>
          <w:p w14:paraId="65386361">
            <w:pPr>
              <w:widowControl/>
              <w:spacing w:line="280" w:lineRule="exact"/>
              <w:jc w:val="left"/>
              <w:rPr>
                <w:rFonts w:hint="eastAsia"/>
                <w:color w:val="000000"/>
                <w:spacing w:val="-4"/>
                <w:szCs w:val="21"/>
              </w:rPr>
            </w:pPr>
            <w:r>
              <w:rPr>
                <w:rFonts w:hint="eastAsia"/>
                <w:color w:val="000000"/>
                <w:spacing w:val="-4"/>
                <w:szCs w:val="21"/>
              </w:rPr>
              <w:t>《产品质量法》第二十六条　生产者应当对其生产的产品质量负责。产品质量应当符合下列要求：(三)符合在产品或者其包装上注明采用的产品标准，符合以产品说明、实物样品等方式表明的质量状况。</w:t>
            </w:r>
          </w:p>
          <w:p w14:paraId="47F6151A">
            <w:pPr>
              <w:widowControl/>
              <w:spacing w:line="280" w:lineRule="exact"/>
              <w:jc w:val="left"/>
              <w:rPr>
                <w:rFonts w:hint="eastAsia"/>
                <w:color w:val="000000"/>
                <w:spacing w:val="-4"/>
                <w:szCs w:val="21"/>
              </w:rPr>
            </w:pPr>
            <w:r>
              <w:rPr>
                <w:rFonts w:hint="eastAsia"/>
                <w:color w:val="000000"/>
                <w:spacing w:val="-4"/>
                <w:szCs w:val="21"/>
              </w:rPr>
              <w:t>第三十二条　生产者生产产品，不得掺杂、掺假，不得以假充真、以次充好，不得以不合格产品冒充合格产品。</w:t>
            </w:r>
          </w:p>
          <w:p w14:paraId="5E8575DC">
            <w:pPr>
              <w:widowControl/>
              <w:spacing w:line="280" w:lineRule="exact"/>
              <w:jc w:val="left"/>
              <w:rPr>
                <w:rFonts w:hint="eastAsia"/>
                <w:color w:val="000000"/>
                <w:spacing w:val="-4"/>
                <w:szCs w:val="21"/>
              </w:rPr>
            </w:pPr>
            <w:r>
              <w:rPr>
                <w:rFonts w:hint="eastAsia"/>
                <w:color w:val="000000"/>
                <w:spacing w:val="-4"/>
                <w:szCs w:val="21"/>
              </w:rPr>
              <w:t>第三十九条　销售者销售产品，不得掺杂、掺假，不得以假充真、以次充好，不得以不合格产品冒充合格产品。</w:t>
            </w:r>
          </w:p>
          <w:p w14:paraId="73260C1D">
            <w:pPr>
              <w:widowControl/>
              <w:spacing w:line="280" w:lineRule="exact"/>
              <w:jc w:val="left"/>
              <w:rPr>
                <w:rFonts w:hint="eastAsia"/>
                <w:color w:val="000000"/>
                <w:spacing w:val="-4"/>
                <w:szCs w:val="21"/>
              </w:rPr>
            </w:pPr>
            <w:r>
              <w:rPr>
                <w:rFonts w:hint="eastAsia"/>
                <w:color w:val="000000"/>
                <w:spacing w:val="-4"/>
                <w:szCs w:val="21"/>
              </w:rPr>
              <w:t>第四十九条　生产、销售不符合保障人体健康和人身、财产安全的国家标准、行业标准的产品的，责令停止生产、销售，没收违法生产、销售的产品，并处违法生产、销售产品(包括已售出和未售出的产品，下同)货值金额等值以上三倍以下的罚款；有违法所得的，并处没收违法所得；情节严重的，吊销营业执照；构成犯罪的，依法追究刑事责任。</w:t>
            </w:r>
          </w:p>
          <w:p w14:paraId="593DF07E">
            <w:pPr>
              <w:widowControl/>
              <w:spacing w:line="280" w:lineRule="exact"/>
              <w:jc w:val="left"/>
              <w:rPr>
                <w:rFonts w:hint="eastAsia"/>
                <w:color w:val="000000"/>
                <w:spacing w:val="-4"/>
                <w:szCs w:val="21"/>
              </w:rPr>
            </w:pPr>
            <w:r>
              <w:rPr>
                <w:rFonts w:hint="eastAsia"/>
                <w:color w:val="000000"/>
                <w:spacing w:val="-4"/>
                <w:szCs w:val="21"/>
              </w:rPr>
              <w:t xml:space="preserve">第五十条　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                                                  </w:t>
            </w:r>
          </w:p>
          <w:p w14:paraId="476E55A0">
            <w:pPr>
              <w:widowControl/>
              <w:spacing w:line="300" w:lineRule="exact"/>
              <w:jc w:val="left"/>
              <w:rPr>
                <w:rFonts w:hint="eastAsia"/>
                <w:color w:val="000000"/>
                <w:spacing w:val="-4"/>
                <w:szCs w:val="21"/>
              </w:rPr>
            </w:pPr>
            <w:r>
              <w:rPr>
                <w:rFonts w:hint="eastAsia"/>
                <w:color w:val="000000"/>
                <w:spacing w:val="-4"/>
                <w:szCs w:val="21"/>
              </w:rPr>
              <w:t>《食品安全法》第三十四条 禁止生产经营下列食品、食品添加剂、食品相关产品：（十三）其他不符合法律、法规或者食品安全标准的食品、食品添加剂、食品相关产品。</w:t>
            </w:r>
          </w:p>
          <w:p w14:paraId="12CA9AB7">
            <w:pPr>
              <w:widowControl/>
              <w:spacing w:line="300" w:lineRule="exact"/>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第一百二十四条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生产不符合食品安全标准的食品相关产品的，由县级以上人民政府食品安全监督管理部门依照第一款规定给予处罚。</w:t>
            </w:r>
          </w:p>
        </w:tc>
        <w:tc>
          <w:tcPr>
            <w:tcW w:w="2017" w:type="dxa"/>
            <w:shd w:val="clear" w:color="auto" w:fill="auto"/>
            <w:noWrap w:val="0"/>
            <w:vAlign w:val="center"/>
          </w:tcPr>
          <w:p w14:paraId="002A8F3B">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苏州市市场监督管理局及各市（区）市场监督管理局</w:t>
            </w:r>
          </w:p>
        </w:tc>
      </w:tr>
      <w:tr w14:paraId="1E51EF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93" w:hRule="atLeast"/>
        </w:trPr>
        <w:tc>
          <w:tcPr>
            <w:tcW w:w="432" w:type="dxa"/>
            <w:noWrap w:val="0"/>
            <w:vAlign w:val="center"/>
          </w:tcPr>
          <w:p w14:paraId="327DACE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94</w:t>
            </w:r>
          </w:p>
        </w:tc>
        <w:tc>
          <w:tcPr>
            <w:tcW w:w="3112" w:type="dxa"/>
            <w:shd w:val="clear" w:color="auto" w:fill="auto"/>
            <w:noWrap w:val="0"/>
            <w:vAlign w:val="center"/>
          </w:tcPr>
          <w:p w14:paraId="3144F96B">
            <w:pPr>
              <w:widowControl/>
              <w:jc w:val="left"/>
              <w:rPr>
                <w:color w:val="000000"/>
                <w:spacing w:val="-4"/>
                <w:szCs w:val="21"/>
              </w:rPr>
            </w:pPr>
            <w:r>
              <w:rPr>
                <w:color w:val="000000"/>
                <w:spacing w:val="-4"/>
                <w:szCs w:val="21"/>
              </w:rPr>
              <w:t xml:space="preserve">产品或其包装上的标 </w:t>
            </w:r>
          </w:p>
          <w:p w14:paraId="04B87234">
            <w:pPr>
              <w:widowControl/>
              <w:jc w:val="left"/>
              <w:rPr>
                <w:color w:val="000000"/>
                <w:spacing w:val="-4"/>
                <w:szCs w:val="21"/>
              </w:rPr>
            </w:pPr>
            <w:r>
              <w:rPr>
                <w:rFonts w:hint="eastAsia"/>
                <w:color w:val="000000"/>
                <w:spacing w:val="-4"/>
                <w:szCs w:val="21"/>
              </w:rPr>
              <w:t xml:space="preserve">识不符合《产品质量 </w:t>
            </w:r>
          </w:p>
          <w:p w14:paraId="5CE7AE39">
            <w:pPr>
              <w:widowControl/>
              <w:jc w:val="left"/>
              <w:rPr>
                <w:color w:val="000000"/>
                <w:spacing w:val="-4"/>
                <w:szCs w:val="21"/>
              </w:rPr>
            </w:pPr>
            <w:r>
              <w:rPr>
                <w:rFonts w:hint="eastAsia"/>
                <w:color w:val="000000"/>
                <w:spacing w:val="-4"/>
                <w:szCs w:val="21"/>
              </w:rPr>
              <w:t>法》第二十七条规定</w:t>
            </w:r>
          </w:p>
          <w:p w14:paraId="73F33FBC">
            <w:pPr>
              <w:widowControl/>
              <w:jc w:val="left"/>
              <w:rPr>
                <w:rFonts w:hint="eastAsia" w:asciiTheme="minorHAnsi" w:hAnsiTheme="minorHAnsi" w:eastAsiaTheme="minorEastAsia" w:cstheme="minorBidi"/>
                <w:color w:val="000000"/>
                <w:spacing w:val="-4"/>
                <w:kern w:val="2"/>
                <w:sz w:val="21"/>
                <w:szCs w:val="21"/>
                <w:lang w:val="en-US" w:eastAsia="zh-CN" w:bidi="ar-SA"/>
              </w:rPr>
            </w:pPr>
          </w:p>
        </w:tc>
        <w:tc>
          <w:tcPr>
            <w:tcW w:w="2693" w:type="dxa"/>
            <w:shd w:val="clear" w:color="auto" w:fill="auto"/>
            <w:noWrap w:val="0"/>
            <w:vAlign w:val="center"/>
          </w:tcPr>
          <w:p w14:paraId="3508AE73">
            <w:pPr>
              <w:overflowPunct w:val="0"/>
              <w:adjustRightInd w:val="0"/>
              <w:snapToGrid w:val="0"/>
              <w:jc w:val="left"/>
              <w:textAlignment w:val="center"/>
              <w:rPr>
                <w:rFonts w:hint="eastAsia"/>
                <w:color w:val="000000"/>
                <w:spacing w:val="-4"/>
                <w:szCs w:val="21"/>
              </w:rPr>
            </w:pPr>
            <w:r>
              <w:rPr>
                <w:rFonts w:hint="eastAsia"/>
                <w:color w:val="000000"/>
                <w:spacing w:val="-4"/>
                <w:szCs w:val="21"/>
              </w:rPr>
              <w:t>同时具备以下条件：</w:t>
            </w:r>
          </w:p>
          <w:p w14:paraId="25FD27B4">
            <w:pPr>
              <w:widowControl/>
              <w:jc w:val="left"/>
              <w:rPr>
                <w:color w:val="000000"/>
                <w:spacing w:val="-4"/>
                <w:szCs w:val="21"/>
              </w:rPr>
            </w:pPr>
            <w:r>
              <w:rPr>
                <w:color w:val="000000"/>
                <w:spacing w:val="-4"/>
                <w:szCs w:val="21"/>
              </w:rPr>
              <w:t xml:space="preserve">1.初次违法； </w:t>
            </w:r>
          </w:p>
          <w:p w14:paraId="66924566">
            <w:pPr>
              <w:widowControl/>
              <w:jc w:val="left"/>
              <w:rPr>
                <w:color w:val="000000"/>
                <w:spacing w:val="-4"/>
                <w:szCs w:val="21"/>
              </w:rPr>
            </w:pPr>
            <w:r>
              <w:rPr>
                <w:rFonts w:hint="eastAsia"/>
                <w:color w:val="000000"/>
                <w:spacing w:val="-4"/>
                <w:szCs w:val="21"/>
              </w:rPr>
              <w:t xml:space="preserve">2.及时改正； </w:t>
            </w:r>
          </w:p>
          <w:p w14:paraId="60974E6C">
            <w:pPr>
              <w:widowControl/>
              <w:jc w:val="left"/>
              <w:rPr>
                <w:color w:val="000000"/>
                <w:spacing w:val="-4"/>
                <w:szCs w:val="21"/>
              </w:rPr>
            </w:pPr>
            <w:r>
              <w:rPr>
                <w:rFonts w:hint="eastAsia"/>
                <w:color w:val="000000"/>
                <w:spacing w:val="-4"/>
                <w:szCs w:val="21"/>
              </w:rPr>
              <w:t>3.</w:t>
            </w:r>
            <w:r>
              <w:rPr>
                <w:color w:val="000000"/>
                <w:spacing w:val="-4"/>
                <w:szCs w:val="21"/>
              </w:rPr>
              <w:t>没有造成危害后果或</w:t>
            </w:r>
            <w:r>
              <w:rPr>
                <w:rFonts w:hint="eastAsia"/>
                <w:color w:val="000000"/>
                <w:spacing w:val="-4"/>
                <w:szCs w:val="21"/>
              </w:rPr>
              <w:t>危害后果轻微。</w:t>
            </w:r>
          </w:p>
          <w:p w14:paraId="61CE3F10">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p>
        </w:tc>
        <w:tc>
          <w:tcPr>
            <w:tcW w:w="5812" w:type="dxa"/>
            <w:shd w:val="clear" w:color="auto" w:fill="auto"/>
            <w:noWrap w:val="0"/>
            <w:vAlign w:val="center"/>
          </w:tcPr>
          <w:p w14:paraId="69E7F9BA">
            <w:pPr>
              <w:widowControl/>
              <w:jc w:val="left"/>
              <w:rPr>
                <w:color w:val="000000"/>
                <w:spacing w:val="-4"/>
                <w:szCs w:val="21"/>
              </w:rPr>
            </w:pPr>
            <w:r>
              <w:rPr>
                <w:color w:val="000000"/>
                <w:spacing w:val="-4"/>
                <w:szCs w:val="21"/>
              </w:rPr>
              <w:t xml:space="preserve">《中华人民共和国产品质量法》第二十七条 </w:t>
            </w:r>
            <w:r>
              <w:rPr>
                <w:rFonts w:hint="eastAsia"/>
                <w:color w:val="000000"/>
                <w:spacing w:val="-4"/>
                <w:szCs w:val="21"/>
              </w:rPr>
              <w:t xml:space="preserve">产品或者其包装上的标识必须真实，并符合下列要求：（一）有产品质量检验合格证明；（二）有中文标明的产品名称、生产厂厂名和厂址； （三）根据产品的特点和使用要求，需要标明产品规格、等级、所含主要成份的名称和含量的，用中文相应予以标明；需要事先让消费者知晓的，应当在外包装上标明，或者预先向消费者提供有关资料；（四）限期使用的产品，应当在显著位置清晰地标明生产日期和安全使用期或者失效日期；（五）使用不当，容易造成产品本身损坏或者可能危及人身、财产安全的产品，应当有警示标志或者中文警示说明。裸装的食品和其他根据产品的特点难以附加标识的裸装产品，可以不附加产品标识。 </w:t>
            </w:r>
          </w:p>
          <w:p w14:paraId="2683CA66">
            <w:pPr>
              <w:widowControl/>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第五十四条 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tc>
        <w:tc>
          <w:tcPr>
            <w:tcW w:w="2017" w:type="dxa"/>
            <w:shd w:val="clear" w:color="auto" w:fill="auto"/>
            <w:noWrap w:val="0"/>
            <w:vAlign w:val="center"/>
          </w:tcPr>
          <w:p w14:paraId="4A81D62D">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苏州市市场监督管理局及各市（区）市场监督管理局</w:t>
            </w:r>
          </w:p>
        </w:tc>
      </w:tr>
      <w:tr w14:paraId="45C8D7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93" w:hRule="atLeast"/>
        </w:trPr>
        <w:tc>
          <w:tcPr>
            <w:tcW w:w="432" w:type="dxa"/>
            <w:noWrap w:val="0"/>
            <w:vAlign w:val="center"/>
          </w:tcPr>
          <w:p w14:paraId="481FB15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95</w:t>
            </w:r>
          </w:p>
        </w:tc>
        <w:tc>
          <w:tcPr>
            <w:tcW w:w="3112" w:type="dxa"/>
            <w:shd w:val="clear" w:color="auto" w:fill="auto"/>
            <w:noWrap w:val="0"/>
            <w:vAlign w:val="center"/>
          </w:tcPr>
          <w:p w14:paraId="488C04AC">
            <w:pPr>
              <w:widowControl/>
              <w:jc w:val="left"/>
              <w:rPr>
                <w:color w:val="000000"/>
                <w:spacing w:val="-4"/>
                <w:szCs w:val="21"/>
              </w:rPr>
            </w:pPr>
            <w:r>
              <w:rPr>
                <w:color w:val="000000"/>
                <w:spacing w:val="-4"/>
                <w:szCs w:val="21"/>
              </w:rPr>
              <w:t xml:space="preserve">销售没有再利用产 </w:t>
            </w:r>
          </w:p>
          <w:p w14:paraId="0E92F497">
            <w:pPr>
              <w:widowControl/>
              <w:jc w:val="left"/>
              <w:rPr>
                <w:color w:val="000000"/>
                <w:spacing w:val="-4"/>
                <w:szCs w:val="21"/>
              </w:rPr>
            </w:pPr>
            <w:r>
              <w:rPr>
                <w:rFonts w:hint="eastAsia"/>
                <w:color w:val="000000"/>
                <w:spacing w:val="-4"/>
                <w:szCs w:val="21"/>
              </w:rPr>
              <w:t xml:space="preserve">品标识的再利用电 </w:t>
            </w:r>
          </w:p>
          <w:p w14:paraId="1C588C19">
            <w:pPr>
              <w:widowControl/>
              <w:jc w:val="left"/>
              <w:rPr>
                <w:color w:val="000000"/>
                <w:spacing w:val="-4"/>
                <w:szCs w:val="21"/>
              </w:rPr>
            </w:pPr>
            <w:r>
              <w:rPr>
                <w:rFonts w:hint="eastAsia"/>
                <w:color w:val="000000"/>
                <w:spacing w:val="-4"/>
                <w:szCs w:val="21"/>
              </w:rPr>
              <w:t>器电子产品</w:t>
            </w:r>
          </w:p>
          <w:p w14:paraId="23667EE3">
            <w:pPr>
              <w:widowControl/>
              <w:jc w:val="left"/>
              <w:rPr>
                <w:rFonts w:hint="eastAsia" w:asciiTheme="minorHAnsi" w:hAnsiTheme="minorHAnsi" w:eastAsiaTheme="minorEastAsia" w:cstheme="minorBidi"/>
                <w:color w:val="000000"/>
                <w:spacing w:val="-4"/>
                <w:kern w:val="2"/>
                <w:sz w:val="21"/>
                <w:szCs w:val="21"/>
                <w:lang w:val="en-US" w:eastAsia="zh-CN" w:bidi="ar-SA"/>
              </w:rPr>
            </w:pPr>
          </w:p>
        </w:tc>
        <w:tc>
          <w:tcPr>
            <w:tcW w:w="2693" w:type="dxa"/>
            <w:shd w:val="clear" w:color="auto" w:fill="auto"/>
            <w:noWrap w:val="0"/>
            <w:vAlign w:val="center"/>
          </w:tcPr>
          <w:p w14:paraId="3F0AC537">
            <w:pPr>
              <w:overflowPunct w:val="0"/>
              <w:adjustRightInd w:val="0"/>
              <w:snapToGrid w:val="0"/>
              <w:jc w:val="left"/>
              <w:textAlignment w:val="center"/>
              <w:rPr>
                <w:rFonts w:hint="eastAsia"/>
                <w:color w:val="000000"/>
                <w:spacing w:val="-4"/>
                <w:szCs w:val="21"/>
              </w:rPr>
            </w:pPr>
            <w:r>
              <w:rPr>
                <w:rFonts w:hint="eastAsia"/>
                <w:color w:val="000000"/>
                <w:spacing w:val="-4"/>
                <w:szCs w:val="21"/>
              </w:rPr>
              <w:t>同时具备以下条件：</w:t>
            </w:r>
          </w:p>
          <w:p w14:paraId="1B9DE3D7">
            <w:pPr>
              <w:widowControl/>
              <w:jc w:val="left"/>
              <w:rPr>
                <w:color w:val="000000"/>
                <w:spacing w:val="-4"/>
                <w:szCs w:val="21"/>
              </w:rPr>
            </w:pPr>
            <w:r>
              <w:rPr>
                <w:color w:val="000000"/>
                <w:spacing w:val="-4"/>
                <w:szCs w:val="21"/>
              </w:rPr>
              <w:t xml:space="preserve">1.初次违法； </w:t>
            </w:r>
          </w:p>
          <w:p w14:paraId="5A536540">
            <w:pPr>
              <w:widowControl/>
              <w:jc w:val="left"/>
              <w:rPr>
                <w:color w:val="000000"/>
                <w:spacing w:val="-4"/>
                <w:szCs w:val="21"/>
              </w:rPr>
            </w:pPr>
            <w:r>
              <w:rPr>
                <w:rFonts w:hint="eastAsia"/>
                <w:color w:val="000000"/>
                <w:spacing w:val="-4"/>
                <w:szCs w:val="21"/>
              </w:rPr>
              <w:t xml:space="preserve">2.及时改正； </w:t>
            </w:r>
          </w:p>
          <w:p w14:paraId="1CB69732">
            <w:pPr>
              <w:widowControl/>
              <w:jc w:val="left"/>
              <w:rPr>
                <w:color w:val="000000"/>
                <w:spacing w:val="-4"/>
                <w:szCs w:val="21"/>
              </w:rPr>
            </w:pPr>
            <w:r>
              <w:rPr>
                <w:rFonts w:hint="eastAsia"/>
                <w:color w:val="000000"/>
                <w:spacing w:val="-4"/>
                <w:szCs w:val="21"/>
              </w:rPr>
              <w:t>3.</w:t>
            </w:r>
            <w:r>
              <w:rPr>
                <w:color w:val="000000"/>
                <w:spacing w:val="-4"/>
                <w:szCs w:val="21"/>
              </w:rPr>
              <w:t>没有造成危害后果或</w:t>
            </w:r>
            <w:r>
              <w:rPr>
                <w:rFonts w:hint="eastAsia"/>
                <w:color w:val="000000"/>
                <w:spacing w:val="-4"/>
                <w:szCs w:val="21"/>
              </w:rPr>
              <w:t>危害后果轻微。</w:t>
            </w:r>
          </w:p>
          <w:p w14:paraId="31A48941">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p>
        </w:tc>
        <w:tc>
          <w:tcPr>
            <w:tcW w:w="5812" w:type="dxa"/>
            <w:shd w:val="clear" w:color="auto" w:fill="auto"/>
            <w:noWrap w:val="0"/>
            <w:vAlign w:val="center"/>
          </w:tcPr>
          <w:p w14:paraId="741D8B31">
            <w:pPr>
              <w:widowControl/>
              <w:jc w:val="left"/>
              <w:rPr>
                <w:color w:val="000000"/>
                <w:spacing w:val="-4"/>
                <w:szCs w:val="21"/>
              </w:rPr>
            </w:pPr>
            <w:r>
              <w:rPr>
                <w:color w:val="000000"/>
                <w:spacing w:val="-4"/>
                <w:szCs w:val="21"/>
              </w:rPr>
              <w:t xml:space="preserve">《中华人民共和国循环经济促进法》第三十九条第一款 </w:t>
            </w:r>
            <w:r>
              <w:rPr>
                <w:rFonts w:hint="eastAsia"/>
                <w:color w:val="000000"/>
                <w:spacing w:val="-4"/>
                <w:szCs w:val="21"/>
              </w:rPr>
              <w:t xml:space="preserve">回收的电器电子产品，经过修复后销售的，必须符合再利用产品标准，并在显著位置标识为再利用产品。 </w:t>
            </w:r>
          </w:p>
          <w:p w14:paraId="4ED88400">
            <w:pPr>
              <w:widowControl/>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第五十六条第一项 违反本法规定，有下列行为之一的，由地方人民政府市场监督管理部门责令限期改正，可以处五千元以上五万元以下的罚款；逾期不改正，依法吊销营业执照；造成损失的，依法承担赔偿责任：（一）销售没有再利用产品标识的再利用电器电子产品的。</w:t>
            </w:r>
          </w:p>
        </w:tc>
        <w:tc>
          <w:tcPr>
            <w:tcW w:w="2017" w:type="dxa"/>
            <w:shd w:val="clear" w:color="auto" w:fill="auto"/>
            <w:noWrap w:val="0"/>
            <w:vAlign w:val="center"/>
          </w:tcPr>
          <w:p w14:paraId="652AB0FB">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苏州市市场监督管理局及各市（区）市场监督管理局</w:t>
            </w:r>
          </w:p>
        </w:tc>
      </w:tr>
      <w:tr w14:paraId="08D404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24" w:hRule="atLeast"/>
        </w:trPr>
        <w:tc>
          <w:tcPr>
            <w:tcW w:w="432" w:type="dxa"/>
            <w:noWrap w:val="0"/>
            <w:vAlign w:val="center"/>
          </w:tcPr>
          <w:p w14:paraId="4734CDB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96</w:t>
            </w:r>
          </w:p>
        </w:tc>
        <w:tc>
          <w:tcPr>
            <w:tcW w:w="3112" w:type="dxa"/>
            <w:shd w:val="clear" w:color="auto" w:fill="auto"/>
            <w:noWrap w:val="0"/>
            <w:vAlign w:val="center"/>
          </w:tcPr>
          <w:p w14:paraId="40A25FE4">
            <w:pPr>
              <w:widowControl/>
              <w:jc w:val="left"/>
              <w:rPr>
                <w:rFonts w:ascii="宋体" w:hAnsi="宋体"/>
                <w:szCs w:val="21"/>
              </w:rPr>
            </w:pPr>
            <w:r>
              <w:rPr>
                <w:rFonts w:ascii="宋体" w:hAnsi="宋体" w:cs="方正仿宋_GBK"/>
                <w:kern w:val="0"/>
                <w:szCs w:val="21"/>
                <w:lang w:bidi="ar"/>
              </w:rPr>
              <w:t xml:space="preserve">销售没有再制造或 </w:t>
            </w:r>
          </w:p>
          <w:p w14:paraId="77C79D9A">
            <w:pPr>
              <w:widowControl/>
              <w:jc w:val="left"/>
              <w:rPr>
                <w:rFonts w:ascii="宋体" w:hAnsi="宋体"/>
                <w:szCs w:val="21"/>
              </w:rPr>
            </w:pPr>
            <w:r>
              <w:rPr>
                <w:rFonts w:hint="eastAsia" w:ascii="宋体" w:hAnsi="宋体" w:cs="方正仿宋_GBK"/>
                <w:kern w:val="0"/>
                <w:szCs w:val="21"/>
                <w:lang w:bidi="ar"/>
              </w:rPr>
              <w:t xml:space="preserve">者翻新产品标识的 </w:t>
            </w:r>
          </w:p>
          <w:p w14:paraId="323DAF8F">
            <w:pPr>
              <w:widowControl/>
              <w:jc w:val="left"/>
              <w:rPr>
                <w:rFonts w:ascii="宋体" w:hAnsi="宋体"/>
                <w:szCs w:val="21"/>
              </w:rPr>
            </w:pPr>
            <w:r>
              <w:rPr>
                <w:rFonts w:hint="eastAsia" w:ascii="宋体" w:hAnsi="宋体" w:cs="方正仿宋_GBK"/>
                <w:kern w:val="0"/>
                <w:szCs w:val="21"/>
                <w:lang w:bidi="ar"/>
              </w:rPr>
              <w:t xml:space="preserve">再制造或者翻新产 </w:t>
            </w:r>
          </w:p>
          <w:p w14:paraId="56729E17">
            <w:pPr>
              <w:widowControl/>
              <w:jc w:val="left"/>
              <w:rPr>
                <w:rFonts w:hint="eastAsia" w:ascii="宋体" w:hAnsi="宋体" w:eastAsiaTheme="minorEastAsia" w:cstheme="minorBidi"/>
                <w:spacing w:val="-4"/>
                <w:kern w:val="2"/>
                <w:sz w:val="21"/>
                <w:szCs w:val="21"/>
                <w:lang w:val="en-US" w:eastAsia="zh-CN" w:bidi="ar-SA"/>
              </w:rPr>
            </w:pPr>
            <w:r>
              <w:rPr>
                <w:rFonts w:hint="eastAsia" w:ascii="宋体" w:hAnsi="宋体" w:cs="方正仿宋_GBK"/>
                <w:kern w:val="0"/>
                <w:szCs w:val="21"/>
                <w:lang w:bidi="ar"/>
              </w:rPr>
              <w:t>品</w:t>
            </w:r>
          </w:p>
        </w:tc>
        <w:tc>
          <w:tcPr>
            <w:tcW w:w="2693" w:type="dxa"/>
            <w:shd w:val="clear" w:color="auto" w:fill="auto"/>
            <w:noWrap w:val="0"/>
            <w:vAlign w:val="center"/>
          </w:tcPr>
          <w:p w14:paraId="27B8000A">
            <w:pPr>
              <w:overflowPunct w:val="0"/>
              <w:adjustRightInd w:val="0"/>
              <w:snapToGrid w:val="0"/>
              <w:jc w:val="left"/>
              <w:textAlignment w:val="center"/>
              <w:rPr>
                <w:rFonts w:hint="eastAsia" w:ascii="宋体" w:hAnsi="宋体"/>
                <w:spacing w:val="-4"/>
                <w:szCs w:val="21"/>
              </w:rPr>
            </w:pPr>
            <w:r>
              <w:rPr>
                <w:rFonts w:hint="eastAsia" w:ascii="宋体" w:hAnsi="宋体"/>
                <w:spacing w:val="-4"/>
                <w:szCs w:val="21"/>
              </w:rPr>
              <w:t>同时具备以下条件：</w:t>
            </w:r>
          </w:p>
          <w:p w14:paraId="69486629">
            <w:pPr>
              <w:widowControl/>
              <w:jc w:val="left"/>
              <w:rPr>
                <w:rFonts w:ascii="宋体" w:hAnsi="宋体"/>
                <w:szCs w:val="21"/>
              </w:rPr>
            </w:pPr>
            <w:r>
              <w:rPr>
                <w:rFonts w:ascii="宋体" w:hAnsi="宋体" w:cs="方正仿宋_GBK"/>
                <w:kern w:val="0"/>
                <w:szCs w:val="21"/>
                <w:lang w:bidi="ar"/>
              </w:rPr>
              <w:t xml:space="preserve">1.初次违法； </w:t>
            </w:r>
          </w:p>
          <w:p w14:paraId="3DC2A296">
            <w:pPr>
              <w:widowControl/>
              <w:jc w:val="left"/>
              <w:rPr>
                <w:rFonts w:ascii="宋体" w:hAnsi="宋体"/>
                <w:szCs w:val="21"/>
              </w:rPr>
            </w:pPr>
            <w:r>
              <w:rPr>
                <w:rFonts w:hint="eastAsia" w:ascii="宋体" w:hAnsi="宋体" w:cs="方正仿宋_GBK"/>
                <w:kern w:val="0"/>
                <w:szCs w:val="21"/>
                <w:lang w:bidi="ar"/>
              </w:rPr>
              <w:t xml:space="preserve">2.及时改正； </w:t>
            </w:r>
          </w:p>
          <w:p w14:paraId="71EFF9BE">
            <w:pPr>
              <w:widowControl/>
              <w:jc w:val="left"/>
              <w:rPr>
                <w:rFonts w:ascii="宋体" w:hAnsi="宋体" w:cs="方正仿宋_GBK"/>
                <w:kern w:val="0"/>
                <w:szCs w:val="21"/>
                <w:lang w:bidi="ar"/>
              </w:rPr>
            </w:pPr>
            <w:r>
              <w:rPr>
                <w:rFonts w:hint="eastAsia" w:ascii="宋体" w:hAnsi="宋体" w:cs="方正仿宋_GBK"/>
                <w:kern w:val="0"/>
                <w:szCs w:val="21"/>
                <w:lang w:bidi="ar"/>
              </w:rPr>
              <w:t>3.</w:t>
            </w:r>
            <w:r>
              <w:rPr>
                <w:rFonts w:ascii="宋体" w:hAnsi="宋体"/>
                <w:spacing w:val="-4"/>
                <w:szCs w:val="21"/>
              </w:rPr>
              <w:t>没</w:t>
            </w:r>
            <w:r>
              <w:rPr>
                <w:rFonts w:ascii="宋体" w:hAnsi="宋体" w:cs="方正仿宋_GBK"/>
                <w:kern w:val="0"/>
                <w:szCs w:val="21"/>
                <w:lang w:bidi="ar"/>
              </w:rPr>
              <w:t>有造成危害后果或</w:t>
            </w:r>
            <w:r>
              <w:rPr>
                <w:rFonts w:hint="eastAsia" w:ascii="宋体" w:hAnsi="宋体" w:cs="方正仿宋_GBK"/>
                <w:kern w:val="0"/>
                <w:szCs w:val="21"/>
                <w:lang w:bidi="ar"/>
              </w:rPr>
              <w:t>危害后果轻微。</w:t>
            </w:r>
          </w:p>
          <w:p w14:paraId="612B7889">
            <w:pPr>
              <w:overflowPunct w:val="0"/>
              <w:adjustRightInd w:val="0"/>
              <w:snapToGrid w:val="0"/>
              <w:jc w:val="left"/>
              <w:rPr>
                <w:rFonts w:hint="eastAsia" w:ascii="宋体" w:hAnsi="宋体" w:eastAsiaTheme="minorEastAsia" w:cstheme="minorBidi"/>
                <w:spacing w:val="-4"/>
                <w:kern w:val="2"/>
                <w:sz w:val="21"/>
                <w:szCs w:val="21"/>
                <w:lang w:val="en-US" w:eastAsia="zh-CN" w:bidi="ar-SA"/>
              </w:rPr>
            </w:pPr>
          </w:p>
        </w:tc>
        <w:tc>
          <w:tcPr>
            <w:tcW w:w="5812" w:type="dxa"/>
            <w:shd w:val="clear" w:color="auto" w:fill="auto"/>
            <w:noWrap w:val="0"/>
            <w:vAlign w:val="center"/>
          </w:tcPr>
          <w:p w14:paraId="7F7DB5CE">
            <w:pPr>
              <w:widowControl/>
              <w:jc w:val="left"/>
              <w:rPr>
                <w:rFonts w:ascii="宋体" w:hAnsi="宋体"/>
                <w:szCs w:val="21"/>
              </w:rPr>
            </w:pPr>
            <w:r>
              <w:rPr>
                <w:rFonts w:ascii="宋体" w:hAnsi="宋体" w:cs="方正仿宋_GBK"/>
                <w:kern w:val="0"/>
                <w:szCs w:val="21"/>
                <w:lang w:bidi="ar"/>
              </w:rPr>
              <w:t xml:space="preserve">《中华人民共和国循环经济促进法》第四十条第二款 </w:t>
            </w:r>
            <w:r>
              <w:rPr>
                <w:rFonts w:hint="eastAsia" w:ascii="宋体" w:hAnsi="宋体" w:cs="方正仿宋_GBK"/>
                <w:kern w:val="0"/>
                <w:szCs w:val="21"/>
                <w:lang w:bidi="ar"/>
              </w:rPr>
              <w:t xml:space="preserve">销售的再制造产品和翻新产品的质量必须符合国家规定的标准，并在显著位置标识为再制造产品或者翻新产品。 </w:t>
            </w:r>
          </w:p>
          <w:p w14:paraId="02D2C15C">
            <w:pPr>
              <w:widowControl/>
              <w:jc w:val="left"/>
              <w:rPr>
                <w:rFonts w:hint="eastAsia" w:ascii="宋体" w:hAnsi="宋体" w:cs="方正仿宋_GBK" w:eastAsiaTheme="minorEastAsia"/>
                <w:kern w:val="0"/>
                <w:sz w:val="21"/>
                <w:szCs w:val="21"/>
                <w:lang w:val="en-US" w:eastAsia="zh-CN" w:bidi="ar"/>
              </w:rPr>
            </w:pPr>
            <w:r>
              <w:rPr>
                <w:rFonts w:hint="eastAsia" w:ascii="宋体" w:hAnsi="宋体" w:cs="方正仿宋_GBK"/>
                <w:kern w:val="0"/>
                <w:szCs w:val="21"/>
                <w:lang w:bidi="ar"/>
              </w:rPr>
              <w:t>第五十六条第（二）项 违反本法规定，有下列行为之一的，由地方人民政府市场监督管理部门责令限期改正，可以处五千元以上五万元以下的罚款；逾期不改正的，依法吊销营业执照；造成损失的，依法承担赔偿责任：（二）销售没有再制造或翻新产品标识的再制造或者翻新产品的。</w:t>
            </w:r>
          </w:p>
        </w:tc>
        <w:tc>
          <w:tcPr>
            <w:tcW w:w="2017" w:type="dxa"/>
            <w:shd w:val="clear" w:color="auto" w:fill="auto"/>
            <w:noWrap w:val="0"/>
            <w:vAlign w:val="center"/>
          </w:tcPr>
          <w:p w14:paraId="3E2FEBB6">
            <w:pPr>
              <w:overflowPunct w:val="0"/>
              <w:adjustRightInd w:val="0"/>
              <w:snapToGrid w:val="0"/>
              <w:jc w:val="left"/>
              <w:rPr>
                <w:rFonts w:hint="eastAsia" w:ascii="宋体" w:hAnsi="宋体" w:eastAsiaTheme="minorEastAsia" w:cstheme="minorBidi"/>
                <w:spacing w:val="-4"/>
                <w:kern w:val="2"/>
                <w:sz w:val="21"/>
                <w:szCs w:val="21"/>
                <w:lang w:val="en-US" w:eastAsia="zh-CN" w:bidi="ar-SA"/>
              </w:rPr>
            </w:pPr>
            <w:r>
              <w:rPr>
                <w:rFonts w:hint="eastAsia" w:ascii="宋体" w:hAnsi="宋体"/>
                <w:spacing w:val="-4"/>
                <w:szCs w:val="21"/>
              </w:rPr>
              <w:t>苏州市市场监督管理局及各市（区）市场监督管理局</w:t>
            </w:r>
          </w:p>
        </w:tc>
      </w:tr>
      <w:tr w14:paraId="65F39E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84" w:hRule="atLeast"/>
        </w:trPr>
        <w:tc>
          <w:tcPr>
            <w:tcW w:w="432" w:type="dxa"/>
            <w:noWrap w:val="0"/>
            <w:vAlign w:val="center"/>
          </w:tcPr>
          <w:p w14:paraId="1C115F9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97</w:t>
            </w:r>
          </w:p>
        </w:tc>
        <w:tc>
          <w:tcPr>
            <w:tcW w:w="3112" w:type="dxa"/>
            <w:shd w:val="clear" w:color="auto" w:fill="auto"/>
            <w:noWrap w:val="0"/>
            <w:vAlign w:val="center"/>
          </w:tcPr>
          <w:p w14:paraId="38756839">
            <w:pPr>
              <w:overflowPunct w:val="0"/>
              <w:adjustRightInd w:val="0"/>
              <w:snapToGrid w:val="0"/>
              <w:jc w:val="left"/>
              <w:rPr>
                <w:rFonts w:hint="eastAsia" w:ascii="宋体" w:hAnsi="宋体" w:eastAsiaTheme="minorEastAsia" w:cstheme="minorBidi"/>
                <w:spacing w:val="-4"/>
                <w:kern w:val="0"/>
                <w:sz w:val="21"/>
                <w:szCs w:val="21"/>
                <w:lang w:val="en-US" w:eastAsia="zh-CN" w:bidi="ar-SA"/>
              </w:rPr>
            </w:pPr>
            <w:r>
              <w:rPr>
                <w:rFonts w:hint="eastAsia"/>
                <w:color w:val="000000"/>
                <w:spacing w:val="-4"/>
                <w:szCs w:val="21"/>
              </w:rPr>
              <w:t>其他轻微违法行为行为</w:t>
            </w:r>
          </w:p>
        </w:tc>
        <w:tc>
          <w:tcPr>
            <w:tcW w:w="2693" w:type="dxa"/>
            <w:shd w:val="clear" w:color="auto" w:fill="auto"/>
            <w:noWrap w:val="0"/>
            <w:vAlign w:val="center"/>
          </w:tcPr>
          <w:p w14:paraId="2A227682">
            <w:pPr>
              <w:overflowPunct w:val="0"/>
              <w:adjustRightInd w:val="0"/>
              <w:snapToGrid w:val="0"/>
              <w:jc w:val="left"/>
              <w:rPr>
                <w:rFonts w:hint="eastAsia"/>
                <w:color w:val="000000"/>
                <w:spacing w:val="-4"/>
                <w:szCs w:val="21"/>
              </w:rPr>
            </w:pPr>
            <w:r>
              <w:rPr>
                <w:rFonts w:hint="eastAsia"/>
                <w:color w:val="000000"/>
                <w:spacing w:val="-4"/>
                <w:szCs w:val="21"/>
              </w:rPr>
              <w:t>当事人具有下列条件之一的：</w:t>
            </w:r>
          </w:p>
          <w:p w14:paraId="0063386A">
            <w:pPr>
              <w:overflowPunct w:val="0"/>
              <w:adjustRightInd w:val="0"/>
              <w:snapToGrid w:val="0"/>
              <w:jc w:val="left"/>
              <w:rPr>
                <w:rFonts w:hint="eastAsia"/>
                <w:color w:val="000000"/>
                <w:spacing w:val="-4"/>
                <w:szCs w:val="21"/>
              </w:rPr>
            </w:pPr>
            <w:r>
              <w:rPr>
                <w:rFonts w:hint="eastAsia"/>
                <w:color w:val="000000"/>
                <w:spacing w:val="-4"/>
                <w:szCs w:val="21"/>
              </w:rPr>
              <w:t>1.</w:t>
            </w:r>
            <w:r>
              <w:rPr>
                <w:color w:val="000000"/>
                <w:spacing w:val="-4"/>
                <w:szCs w:val="21"/>
              </w:rPr>
              <w:t>违法行为轻微并及时改正，没有造成危害后果的。</w:t>
            </w:r>
          </w:p>
          <w:p w14:paraId="16ACA61D">
            <w:pPr>
              <w:overflowPunct w:val="0"/>
              <w:adjustRightInd w:val="0"/>
              <w:snapToGrid w:val="0"/>
              <w:jc w:val="left"/>
              <w:rPr>
                <w:rFonts w:hint="eastAsia"/>
                <w:color w:val="000000"/>
                <w:spacing w:val="-4"/>
                <w:szCs w:val="21"/>
              </w:rPr>
            </w:pPr>
            <w:r>
              <w:rPr>
                <w:rFonts w:hint="eastAsia"/>
                <w:color w:val="000000"/>
                <w:spacing w:val="-4"/>
                <w:szCs w:val="21"/>
              </w:rPr>
              <w:t>2.</w:t>
            </w:r>
            <w:r>
              <w:rPr>
                <w:color w:val="000000"/>
                <w:spacing w:val="-4"/>
                <w:szCs w:val="21"/>
              </w:rPr>
              <w:t>当事人有证据足以证明没有主观过错的。</w:t>
            </w:r>
          </w:p>
          <w:p w14:paraId="41604371">
            <w:pPr>
              <w:rPr>
                <w:rFonts w:hint="eastAsia" w:ascii="宋体" w:hAnsi="宋体" w:eastAsiaTheme="minorEastAsia" w:cstheme="minorBidi"/>
                <w:spacing w:val="-4"/>
                <w:kern w:val="0"/>
                <w:sz w:val="21"/>
                <w:szCs w:val="21"/>
                <w:lang w:val="en-US" w:eastAsia="zh-CN" w:bidi="ar-SA"/>
              </w:rPr>
            </w:pPr>
            <w:r>
              <w:rPr>
                <w:rFonts w:hint="eastAsia"/>
                <w:color w:val="000000"/>
                <w:spacing w:val="-4"/>
                <w:szCs w:val="21"/>
              </w:rPr>
              <w:t>3.</w:t>
            </w:r>
            <w:r>
              <w:rPr>
                <w:color w:val="000000"/>
                <w:spacing w:val="-4"/>
                <w:szCs w:val="21"/>
              </w:rPr>
              <w:t>初次违法且危害后果轻微并及时改正的，可以不予行政处罚。</w:t>
            </w:r>
          </w:p>
        </w:tc>
        <w:tc>
          <w:tcPr>
            <w:tcW w:w="5812" w:type="dxa"/>
            <w:shd w:val="clear" w:color="auto" w:fill="auto"/>
            <w:noWrap w:val="0"/>
            <w:vAlign w:val="center"/>
          </w:tcPr>
          <w:p w14:paraId="1A9627D7">
            <w:pPr>
              <w:overflowPunct w:val="0"/>
              <w:adjustRightInd w:val="0"/>
              <w:snapToGrid w:val="0"/>
              <w:jc w:val="left"/>
              <w:rPr>
                <w:color w:val="000000"/>
                <w:spacing w:val="-4"/>
                <w:szCs w:val="21"/>
              </w:rPr>
            </w:pPr>
            <w:r>
              <w:rPr>
                <w:rFonts w:hint="eastAsia"/>
                <w:color w:val="000000"/>
                <w:spacing w:val="-4"/>
                <w:szCs w:val="21"/>
              </w:rPr>
              <w:t>《行政处罚法》</w:t>
            </w:r>
            <w:r>
              <w:rPr>
                <w:color w:val="000000"/>
                <w:spacing w:val="-4"/>
                <w:szCs w:val="21"/>
              </w:rPr>
              <w:t>第三十三条　违法行为轻微并及时改正，没有造成危害后果的，不予行政处罚。初次违法且危害后果轻微并及时改正的，可以不予行政处罚。</w:t>
            </w:r>
          </w:p>
          <w:p w14:paraId="4802D808">
            <w:pPr>
              <w:overflowPunct w:val="0"/>
              <w:adjustRightInd w:val="0"/>
              <w:snapToGrid w:val="0"/>
              <w:jc w:val="left"/>
              <w:rPr>
                <w:color w:val="000000"/>
                <w:spacing w:val="-4"/>
                <w:szCs w:val="21"/>
              </w:rPr>
            </w:pPr>
            <w:r>
              <w:rPr>
                <w:color w:val="000000"/>
                <w:spacing w:val="-4"/>
                <w:szCs w:val="21"/>
              </w:rPr>
              <w:t>当事人有证据足以证明没有主观过错的，不予行政处罚。法律、行政法规另有规定的，从其规定。</w:t>
            </w:r>
          </w:p>
          <w:p w14:paraId="5D4C4D18">
            <w:pPr>
              <w:overflowPunct w:val="0"/>
              <w:adjustRightInd w:val="0"/>
              <w:snapToGrid w:val="0"/>
              <w:jc w:val="left"/>
              <w:rPr>
                <w:color w:val="000000"/>
                <w:spacing w:val="-4"/>
                <w:szCs w:val="21"/>
              </w:rPr>
            </w:pPr>
            <w:r>
              <w:rPr>
                <w:color w:val="000000"/>
                <w:spacing w:val="-4"/>
                <w:szCs w:val="21"/>
              </w:rPr>
              <w:t>对当事人的违法行为依法不予行政处罚的，行政机关应当对当事人进行教育。</w:t>
            </w:r>
          </w:p>
          <w:p w14:paraId="11ABD276">
            <w:pPr>
              <w:overflowPunct w:val="0"/>
              <w:adjustRightInd w:val="0"/>
              <w:snapToGrid w:val="0"/>
              <w:jc w:val="left"/>
              <w:textAlignment w:val="center"/>
              <w:rPr>
                <w:rFonts w:hint="eastAsia" w:ascii="宋体" w:hAnsi="宋体" w:eastAsiaTheme="minorEastAsia" w:cstheme="minorBidi"/>
                <w:spacing w:val="-4"/>
                <w:kern w:val="0"/>
                <w:sz w:val="21"/>
                <w:szCs w:val="21"/>
                <w:lang w:val="en-US" w:eastAsia="zh-CN" w:bidi="ar-SA"/>
              </w:rPr>
            </w:pPr>
          </w:p>
        </w:tc>
        <w:tc>
          <w:tcPr>
            <w:tcW w:w="2017" w:type="dxa"/>
            <w:shd w:val="clear" w:color="auto" w:fill="auto"/>
            <w:noWrap w:val="0"/>
            <w:vAlign w:val="center"/>
          </w:tcPr>
          <w:p w14:paraId="003A975B">
            <w:pPr>
              <w:overflowPunct w:val="0"/>
              <w:adjustRightInd w:val="0"/>
              <w:snapToGrid w:val="0"/>
              <w:jc w:val="left"/>
              <w:rPr>
                <w:rFonts w:hint="eastAsia" w:asciiTheme="minorHAnsi" w:hAnsiTheme="minorHAnsi" w:eastAsiaTheme="minorEastAsia" w:cstheme="minorBidi"/>
                <w:color w:val="000000"/>
                <w:spacing w:val="-4"/>
                <w:kern w:val="2"/>
                <w:sz w:val="21"/>
                <w:szCs w:val="21"/>
                <w:lang w:val="en-US" w:eastAsia="zh-CN" w:bidi="ar-SA"/>
              </w:rPr>
            </w:pPr>
            <w:r>
              <w:rPr>
                <w:rFonts w:hint="eastAsia"/>
                <w:color w:val="000000"/>
                <w:spacing w:val="-4"/>
                <w:szCs w:val="21"/>
              </w:rPr>
              <w:t>苏州市市场监督管理局及各市（区）市场监督管理局</w:t>
            </w:r>
          </w:p>
        </w:tc>
      </w:tr>
      <w:tr w14:paraId="6F4E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43640F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noWrap w:val="0"/>
            <w:vAlign w:val="center"/>
          </w:tcPr>
          <w:p w14:paraId="210F796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高危险性体育项目经营者未在醒目位置张贴许可证、安全生产岗位责任制、安全操作规程、体育设施、设备、器材的使用说明及安全检查等制度、社会体育指导人员和救助人员名录及照片</w:t>
            </w:r>
          </w:p>
        </w:tc>
        <w:tc>
          <w:tcPr>
            <w:tcW w:w="2693" w:type="dxa"/>
            <w:noWrap w:val="0"/>
            <w:vAlign w:val="center"/>
          </w:tcPr>
          <w:p w14:paraId="4097BC7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初次违反，在规定范围内立即自行改正或在行政机关责令改正的期限内改正的，没有造成危害后果的</w:t>
            </w:r>
          </w:p>
        </w:tc>
        <w:tc>
          <w:tcPr>
            <w:tcW w:w="5812" w:type="dxa"/>
            <w:noWrap w:val="0"/>
            <w:vAlign w:val="center"/>
          </w:tcPr>
          <w:p w14:paraId="3FCC72D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《经营高危险性体育项目许可管理办法》第二十条 经营者应当将许可证、安全生产岗位责任制、安全操作规程、体育设施、设备、材的使用说明及安全检查等制度、社会体育指导人员和救助人员名录及照片张贴于经营场所的醒目位置。</w:t>
            </w:r>
          </w:p>
          <w:p w14:paraId="1FFE38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《经营高危险性体育项目许可管理办法》第二十八条 违反本办法二十条、第二十一条、第二十二条、第二十三条规定，由县级以上地方人民政府体育主管部门责令限期改正，逾期未改正的，处2万元以下的罚款。</w:t>
            </w:r>
          </w:p>
        </w:tc>
        <w:tc>
          <w:tcPr>
            <w:tcW w:w="2017" w:type="dxa"/>
            <w:noWrap w:val="0"/>
            <w:vAlign w:val="center"/>
          </w:tcPr>
          <w:p w14:paraId="5C207AC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苏州市体育局、各市（区）体育行政部门</w:t>
            </w:r>
          </w:p>
        </w:tc>
      </w:tr>
      <w:tr w14:paraId="76648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D545FD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1（原有）</w:t>
            </w:r>
          </w:p>
        </w:tc>
        <w:tc>
          <w:tcPr>
            <w:tcW w:w="3112" w:type="dxa"/>
            <w:noWrap w:val="0"/>
            <w:vAlign w:val="center"/>
          </w:tcPr>
          <w:p w14:paraId="0A53211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作为统计调查对象未按照国家有关规定设置原始记录、统计台账</w:t>
            </w:r>
          </w:p>
        </w:tc>
        <w:tc>
          <w:tcPr>
            <w:tcW w:w="2693" w:type="dxa"/>
            <w:noWrap w:val="0"/>
            <w:vAlign w:val="center"/>
          </w:tcPr>
          <w:p w14:paraId="465437F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1.有原始记录、统计台账；</w:t>
            </w:r>
          </w:p>
          <w:p w14:paraId="13D35AA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2.原始记录、统计台账不符合国家有关规定要求；</w:t>
            </w:r>
          </w:p>
          <w:p w14:paraId="735AC2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3.认真进行整改，并在规定期限内整改完毕。</w:t>
            </w:r>
          </w:p>
        </w:tc>
        <w:tc>
          <w:tcPr>
            <w:tcW w:w="5812" w:type="dxa"/>
            <w:noWrap w:val="0"/>
            <w:vAlign w:val="center"/>
          </w:tcPr>
          <w:p w14:paraId="6A8758C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《中华人民共和国统计法》（2024年修正）</w:t>
            </w:r>
          </w:p>
          <w:p w14:paraId="42A0077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第四十五条  作为统计调查对象的国家机关、企业事业单位或者其他组织织迟报统计资料，或者未按照国家有关规定设置原始记录、统计台账的，由县级以上人民政府统计机构责令改正，给予警告，可以予以通报；其负有责任的领导人员和直接责任人员属于公职人员的，由任免机关、单位或者监察机关依法给予处分。</w:t>
            </w:r>
          </w:p>
          <w:p w14:paraId="5C98823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企业事业单位或者其他组织有前款所列行为之一的，可以并处五万元以下的罚款。</w:t>
            </w:r>
          </w:p>
          <w:p w14:paraId="297EC45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个体工商户迟报统计资料的，由县级以上人民政府统计机构责令改正，给予警告，可以并处一千元以下的罚款。</w:t>
            </w:r>
          </w:p>
          <w:p w14:paraId="78642EA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《江苏省统计行政处罚裁量基准》</w:t>
            </w:r>
          </w:p>
          <w:p w14:paraId="13DE055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第十三条 违法行为轻微并及时改正，没有造成危害后果的，不予行政处罚。初次违法且危害后果轻微并及时改正的，可以不予行政处罚。</w:t>
            </w:r>
          </w:p>
        </w:tc>
        <w:tc>
          <w:tcPr>
            <w:tcW w:w="2017" w:type="dxa"/>
            <w:noWrap w:val="0"/>
            <w:vAlign w:val="center"/>
          </w:tcPr>
          <w:p w14:paraId="72D683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县级以上人民政 </w:t>
            </w:r>
          </w:p>
          <w:p w14:paraId="33AE5CB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府统计机构</w:t>
            </w:r>
          </w:p>
        </w:tc>
      </w:tr>
      <w:tr w14:paraId="5ACA0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483C2B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0683DDA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作为统计调查对象迟报统计资料</w:t>
            </w:r>
          </w:p>
        </w:tc>
        <w:tc>
          <w:tcPr>
            <w:tcW w:w="2693" w:type="dxa"/>
            <w:noWrap w:val="0"/>
            <w:vAlign w:val="center"/>
          </w:tcPr>
          <w:p w14:paraId="617C148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一年内首次迟报，危害后果轻微并及时改正的</w:t>
            </w:r>
          </w:p>
          <w:p w14:paraId="34EEA4F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5812" w:type="dxa"/>
            <w:noWrap w:val="0"/>
            <w:vAlign w:val="center"/>
          </w:tcPr>
          <w:p w14:paraId="77BAFFF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《中华人民共和国统计法》（2024年修正）</w:t>
            </w:r>
          </w:p>
          <w:p w14:paraId="2EA1DFF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第四十五条  作为统计调查对象的国家机关、企业事业单位或者其他组织织迟报统计资料，或者未按照国家有关规定设置原始记录、统计台账的，由县级以上人民政府统计机构责令改正，给予警告，可以予以通报；其负有责任的领导人员和直接责任人员属于公职人员的，由任免机关、单位或者监察机关依法给予处分。</w:t>
            </w:r>
          </w:p>
          <w:p w14:paraId="0E5E0BF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企业事业单位或者其他组织有前款所列行为之一的，可以并处五万元以下的罚款。</w:t>
            </w:r>
          </w:p>
          <w:p w14:paraId="1144467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个体工商户迟报统计资料的，由县级以上人民政府统计机构责令改正，给予警告，可以并处一千元以下的罚款。</w:t>
            </w:r>
          </w:p>
          <w:p w14:paraId="5EF8AC2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《江苏省统计行政处罚裁量基准》</w:t>
            </w:r>
          </w:p>
          <w:p w14:paraId="3D060EE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第十三条 违法行为轻微并及时改正，没有造成危害后果的，不予行政处罚。初次违法且危害后果轻微并及时改正的，可以不予行政处罚。</w:t>
            </w:r>
          </w:p>
        </w:tc>
        <w:tc>
          <w:tcPr>
            <w:tcW w:w="2017" w:type="dxa"/>
            <w:noWrap w:val="0"/>
            <w:vAlign w:val="center"/>
          </w:tcPr>
          <w:p w14:paraId="666CC7A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县级以上人民政 </w:t>
            </w:r>
          </w:p>
          <w:p w14:paraId="6B6D248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府统计机构</w:t>
            </w:r>
          </w:p>
        </w:tc>
      </w:tr>
      <w:tr w14:paraId="1644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DCF67A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3（原有）</w:t>
            </w:r>
          </w:p>
        </w:tc>
        <w:tc>
          <w:tcPr>
            <w:tcW w:w="3112" w:type="dxa"/>
            <w:noWrap w:val="0"/>
            <w:vAlign w:val="center"/>
          </w:tcPr>
          <w:p w14:paraId="0B597B7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统计调查对象提供不真实或不完整的统计资料</w:t>
            </w:r>
          </w:p>
        </w:tc>
        <w:tc>
          <w:tcPr>
            <w:tcW w:w="2693" w:type="dxa"/>
            <w:noWrap w:val="0"/>
            <w:vAlign w:val="center"/>
          </w:tcPr>
          <w:p w14:paraId="3AA264D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违法数额占应报数额10%以下且违法数额在5000万元以下并符合以下条件之一的：</w:t>
            </w:r>
          </w:p>
          <w:p w14:paraId="63936C2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1.违法行为轻微并及时改正，没有造成危害后果的；</w:t>
            </w:r>
          </w:p>
          <w:p w14:paraId="0C6D883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2.初次违法且危害后果轻微并及时改正的；</w:t>
            </w:r>
          </w:p>
          <w:p w14:paraId="133C5A8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3.当事人有证据足以证明没有主观过错的。</w:t>
            </w:r>
          </w:p>
        </w:tc>
        <w:tc>
          <w:tcPr>
            <w:tcW w:w="5812" w:type="dxa"/>
            <w:noWrap w:val="0"/>
            <w:vAlign w:val="center"/>
          </w:tcPr>
          <w:p w14:paraId="34A240E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《中华人民共和国统计法》（2024年修正）</w:t>
            </w:r>
          </w:p>
          <w:p w14:paraId="2394BDE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第四十四条 第一款第（二）项、第二款、第三款  作为统计调查对象的国家机关、企业事业单位或者其他组织有下列行为之一的，由县级以上人民政府统计机构责令改正，给予警告，可以予以通报；其负有责任的领导人员和直接责任人员属于公职人员的，由任免机关、单位或者监察机关依法给予处分：（二）提供不真实或者不完整的统计资料的；</w:t>
            </w:r>
          </w:p>
          <w:p w14:paraId="6A2D9D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企业事业单位或者其他组织有前款所列行为之一的，可以并处十万元以下的罚款；情节严重的，并处十万元以上五十万元以下的罚款。</w:t>
            </w:r>
          </w:p>
          <w:p w14:paraId="29B12CC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个体工商户有本条第一款所列行为之一的，由县级以上人民政府统计机构责令改正，给予警告，可以并处一万元以下的罚款。</w:t>
            </w:r>
          </w:p>
          <w:p w14:paraId="4B0B05C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《江苏省统计行政处罚裁量基准》</w:t>
            </w:r>
          </w:p>
          <w:p w14:paraId="07DA2AE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第六条 提供不真实统计资料的，用违法数额占应报数额比</w:t>
            </w:r>
          </w:p>
          <w:p w14:paraId="099CB0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例裁量：</w:t>
            </w:r>
          </w:p>
          <w:p w14:paraId="6CDCF32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（一）违法数额占应报数额 10%以下的，对企业事业单位或</w:t>
            </w:r>
          </w:p>
          <w:p w14:paraId="4C0C0ED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者其他组织可以并处一千元以下罚款。</w:t>
            </w:r>
          </w:p>
          <w:p w14:paraId="1034586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第十三条 违法行为轻微并及时改正，没有造成危害后果的，不予行政处罚。初次违法且危害后果轻微并及时改正的，可以不予行政处罚。</w:t>
            </w:r>
          </w:p>
          <w:p w14:paraId="549A5FB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当事人有证据足以证明没有主观过错的，不予行政处罚。法律、行政法规另有规定的，从其规定。</w:t>
            </w:r>
          </w:p>
        </w:tc>
        <w:tc>
          <w:tcPr>
            <w:tcW w:w="2017" w:type="dxa"/>
            <w:noWrap w:val="0"/>
            <w:vAlign w:val="center"/>
          </w:tcPr>
          <w:p w14:paraId="74F054F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 xml:space="preserve">县级以上人民政 </w:t>
            </w:r>
          </w:p>
          <w:p w14:paraId="23651B4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府统计机构</w:t>
            </w:r>
          </w:p>
        </w:tc>
      </w:tr>
      <w:tr w14:paraId="519E6436">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90" w:hRule="atLeast"/>
        </w:trPr>
        <w:tc>
          <w:tcPr>
            <w:tcW w:w="432" w:type="dxa"/>
            <w:tcBorders>
              <w:top w:val="single" w:color="auto" w:sz="4" w:space="0"/>
              <w:left w:val="single" w:color="auto" w:sz="8" w:space="0"/>
              <w:bottom w:val="single" w:color="auto" w:sz="4" w:space="0"/>
              <w:right w:val="single" w:color="auto" w:sz="4" w:space="0"/>
              <w:tl2br w:val="nil"/>
              <w:tr2bl w:val="nil"/>
            </w:tcBorders>
            <w:tcMar>
              <w:top w:w="15" w:type="dxa"/>
              <w:left w:w="15" w:type="dxa"/>
              <w:right w:w="15" w:type="dxa"/>
            </w:tcMar>
            <w:vAlign w:val="center"/>
          </w:tcPr>
          <w:p w14:paraId="5216B17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671D3C1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 w:eastAsia="zh-CN"/>
              </w:rPr>
              <w:t>定点医药机构实施《医疗保障基金使用监督管理条例》第三十八条或者《江苏省医疗保障条例》第七十三条</w:t>
            </w:r>
            <w:r>
              <w:rPr>
                <w:rFonts w:hint="eastAsia" w:asciiTheme="minorEastAsia" w:hAnsiTheme="minorEastAsia" w:eastAsiaTheme="minorEastAsia" w:cstheme="minorEastAsia"/>
                <w:spacing w:val="-2"/>
                <w:kern w:val="0"/>
                <w:sz w:val="22"/>
                <w:szCs w:val="20"/>
                <w:lang w:val="en-US" w:eastAsia="zh-CN"/>
              </w:rPr>
              <w:t>规定的违法行为，造成医保基金损失</w:t>
            </w:r>
          </w:p>
        </w:tc>
        <w:tc>
          <w:tcPr>
            <w:tcW w:w="2693"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1BF29AA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1.违法行为轻微并及时改正，没有造成危害后果的，即：违法行为在医保部门或司法机关发现前，医药机构自行改正并退回违法支出的医保基金，且没有造成其他不良影响。</w:t>
            </w:r>
          </w:p>
          <w:p w14:paraId="04A5B63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初次违法且危害后果轻微并及时改正的，即：定点医药机构二年内在本市范围内第一次实施有关违法行为，在医保部门调查时能停止实施违法行为，如实陈述违法事实并提供证据材料，积极配合医保部门查处；造成的医保基金损失较小且已全部退回，并按照定点服务协议约定承担相关违约责任；没有其他违法行为被医保部门同案调查并认定违法；没有造成其他不良影响。</w:t>
            </w:r>
          </w:p>
          <w:p w14:paraId="559D3E5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定点医药机构在本次违法行为发生前二年内，未因同类行为被医保行政部门或者经办机构调查，并认定违法或违约的，视为第一次实施。</w:t>
            </w:r>
          </w:p>
          <w:p w14:paraId="74CDB03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定点医药机构在本次违法行为发生前二年内因其他违反医保基金使用规定的行为被医保行政部门行政处罚的，不适用本条免罚。</w:t>
            </w:r>
          </w:p>
          <w:p w14:paraId="7348BBC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3.当事人有证据足以证明没有主观过错的，即定点医药机构提供符合《行政诉讼法》证据要求的证据，能够形成较完整的证据链证明该机构对发生的违法行为没有主观上的故意或过失。</w:t>
            </w:r>
          </w:p>
          <w:p w14:paraId="4626550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4.备注：</w:t>
            </w:r>
          </w:p>
          <w:p w14:paraId="2D7F8E9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（1）不予处罚条件3条满足任意1条即可免罚。</w:t>
            </w:r>
          </w:p>
          <w:p w14:paraId="5235E72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（2）损失较小，以不满《关于在医疗保障基金监管工作中加强与纪检监察机关信息贯通的通知》(医保发〔2024〕28 号)中通报纪检监察机关标准的10%计算。</w:t>
            </w:r>
          </w:p>
          <w:p w14:paraId="520020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（3）同类行为如下：</w:t>
            </w:r>
          </w:p>
          <w:p w14:paraId="5A66C93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1）分解住院</w:t>
            </w:r>
          </w:p>
          <w:p w14:paraId="58652E1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2）挂床住院；</w:t>
            </w:r>
          </w:p>
          <w:p w14:paraId="2A2FB58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3）违反诊疗规范过度诊疗、过度检查、分解处方、超量开药、重复开药或者提供其他不必要的医药服务；</w:t>
            </w:r>
          </w:p>
          <w:p w14:paraId="1ED03AD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4）重复收费、超标准收费、分解项目收费；</w:t>
            </w:r>
          </w:p>
          <w:p w14:paraId="381C591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5）串换药品、医用耗材、诊疗项目和服务设施；</w:t>
            </w:r>
          </w:p>
          <w:p w14:paraId="0633D49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6）为参保人员利用其享受医疗保障待遇的机会转卖药品，接受返还现金、实物或者获得其他非法利益提供便利；</w:t>
            </w:r>
          </w:p>
          <w:p w14:paraId="44D0DF4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7）将不属于医疗保障基金支付范围的医药费用纳入医疗保障基金结算；</w:t>
            </w:r>
          </w:p>
          <w:p w14:paraId="647F2D1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8）为非定点医药机构提供医保费用结算服务；</w:t>
            </w:r>
          </w:p>
          <w:p w14:paraId="54F2927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9）高套病种编码，转嫁住院费用。</w:t>
            </w:r>
          </w:p>
        </w:tc>
        <w:tc>
          <w:tcPr>
            <w:tcW w:w="5812" w:type="dxa"/>
            <w:tcBorders>
              <w:top w:val="single" w:color="auto" w:sz="4" w:space="0"/>
              <w:left w:val="nil"/>
              <w:bottom w:val="single" w:color="auto" w:sz="4" w:space="0"/>
              <w:right w:val="single" w:color="auto" w:sz="4" w:space="0"/>
              <w:tl2br w:val="nil"/>
              <w:tr2bl w:val="nil"/>
            </w:tcBorders>
            <w:tcMar>
              <w:top w:w="15" w:type="dxa"/>
              <w:left w:w="15" w:type="dxa"/>
              <w:right w:w="15" w:type="dxa"/>
            </w:tcMar>
            <w:vAlign w:val="center"/>
          </w:tcPr>
          <w:p w14:paraId="726289F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【法律】《行政处罚法》第三十三条</w:t>
            </w:r>
          </w:p>
          <w:p w14:paraId="52AEC5C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p w14:paraId="6CC6077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当事人有证据足以证明没有主观过错的，不予行政处罚。法律、行政法规另有规定的，从其规定。</w:t>
            </w:r>
          </w:p>
          <w:p w14:paraId="478C129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对当事人的违法行为依法不予行政处罚的，行政机关应当对当事人进行教育。</w:t>
            </w:r>
          </w:p>
          <w:p w14:paraId="511262D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【行政法规】</w:t>
            </w:r>
            <w:r>
              <w:rPr>
                <w:rFonts w:hint="eastAsia" w:asciiTheme="minorEastAsia" w:hAnsiTheme="minorEastAsia" w:eastAsiaTheme="minorEastAsia" w:cstheme="minorEastAsia"/>
                <w:spacing w:val="-2"/>
                <w:kern w:val="0"/>
                <w:sz w:val="22"/>
                <w:szCs w:val="20"/>
                <w:lang w:val="en" w:eastAsia="zh-CN"/>
              </w:rPr>
              <w:t>《医疗保障基金使用监督管理条例》</w:t>
            </w:r>
            <w:r>
              <w:rPr>
                <w:rFonts w:hint="eastAsia" w:asciiTheme="minorEastAsia" w:hAnsiTheme="minorEastAsia" w:eastAsiaTheme="minorEastAsia" w:cstheme="minorEastAsia"/>
                <w:spacing w:val="-2"/>
                <w:kern w:val="0"/>
                <w:sz w:val="22"/>
                <w:szCs w:val="20"/>
                <w:lang w:val="en-US" w:eastAsia="zh-CN"/>
              </w:rPr>
              <w:t>第三十八条　</w:t>
            </w:r>
          </w:p>
          <w:p w14:paraId="7E86AE4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有下列情形之一的，由医疗保障行政部门责令改正，并可以约谈有关负责人；造成医疗保障基金损失的，责令退回，处造成损失金额1倍以上2倍以下的罚款；拒不改正或者造成严重后果的，责令定点医药机构暂停相关责任部门6个月以上1年以下涉及医疗保障基金使用的医药服务；违反其他法律、行政法规的，由有关主管部门依法处理：</w:t>
            </w:r>
          </w:p>
          <w:p w14:paraId="77A2699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（一）分解住院、挂床住院；</w:t>
            </w:r>
          </w:p>
          <w:p w14:paraId="0ED724C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（二）违反诊疗规范过度诊疗、过度检查、分解处方、超量开药、重复开药或者提供其他不必要的医药服务；</w:t>
            </w:r>
          </w:p>
          <w:p w14:paraId="2A7A8C5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（三）重复收费、超标准收费、分解项目收费；</w:t>
            </w:r>
          </w:p>
          <w:p w14:paraId="310E78F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（四）串换药品、医用耗材、诊疗项目和服务设施；</w:t>
            </w:r>
          </w:p>
          <w:p w14:paraId="78F01EE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（五）为参保人员利用其享受医疗保障待遇的机会转卖药品，接受返还现金、实物或者获得其他非法利益提供便利；</w:t>
            </w:r>
          </w:p>
          <w:p w14:paraId="50BCE9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（六）将不属于医疗保障基金支付范围的医药费用纳入医疗保障基金结算；</w:t>
            </w:r>
          </w:p>
          <w:p w14:paraId="3F4B52D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（七）造成医疗保障基金损失的其他违法行为。</w:t>
            </w:r>
          </w:p>
          <w:p w14:paraId="36DA64E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 w:eastAsia="zh-CN"/>
              </w:rPr>
            </w:pPr>
            <w:r>
              <w:rPr>
                <w:rFonts w:hint="eastAsia" w:asciiTheme="minorEastAsia" w:hAnsiTheme="minorEastAsia" w:eastAsiaTheme="minorEastAsia" w:cstheme="minorEastAsia"/>
                <w:spacing w:val="-2"/>
                <w:kern w:val="0"/>
                <w:sz w:val="22"/>
                <w:szCs w:val="20"/>
                <w:lang w:val="en-US" w:eastAsia="zh-CN"/>
              </w:rPr>
              <w:t>【地方法规】《江苏省医疗保障条例》</w:t>
            </w:r>
            <w:r>
              <w:rPr>
                <w:rFonts w:hint="eastAsia" w:asciiTheme="minorEastAsia" w:hAnsiTheme="minorEastAsia" w:eastAsiaTheme="minorEastAsia" w:cstheme="minorEastAsia"/>
                <w:spacing w:val="-2"/>
                <w:kern w:val="0"/>
                <w:sz w:val="22"/>
                <w:szCs w:val="20"/>
                <w:lang w:val="en" w:eastAsia="zh-CN"/>
              </w:rPr>
              <w:t>第七十三条</w:t>
            </w:r>
          </w:p>
          <w:p w14:paraId="0E7A2AB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有下列情形之一的，由医疗保障行政部门责令改正，并可以约谈有关负责人；造成医疗保障基金损失的，依法责令退回，处造成损失金额一倍以上二倍以下的罚款；拒不改正或者造成严重后果的，依法责令定点医药机构暂停相关责任部门六个月以上一年以下涉及医疗保障基金使用的医药服务；违反其他法律、行政法规的，由有关主管部门依法处理：</w:t>
            </w:r>
          </w:p>
          <w:p w14:paraId="44A11E1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（一）分解住院、挂床住院；</w:t>
            </w:r>
          </w:p>
          <w:p w14:paraId="4D03D9C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（二）违反诊疗规范过度诊疗、过度检查、分解处方、超量开药、重复开药或者提供其他不必要的医药服务；</w:t>
            </w:r>
          </w:p>
          <w:p w14:paraId="671710A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（三）重复收费、超标准收费、分解项目收费；</w:t>
            </w:r>
          </w:p>
          <w:p w14:paraId="4E78487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（四）串换药品、医用耗材、诊疗项目和服务设施，以药换物；</w:t>
            </w:r>
          </w:p>
          <w:p w14:paraId="2D6DF8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（五）为参保人员利用其享受医疗保障待遇的机会转卖药品，接受返还现金、实物，或者获得其他非法利益提供便利；</w:t>
            </w:r>
          </w:p>
          <w:p w14:paraId="7997CCA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（六）为非定点医药机构提供医保费用结算服务；</w:t>
            </w:r>
          </w:p>
          <w:p w14:paraId="7F35601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（七）将不属于医疗保障基金支付范围的医药费用纳入医疗保障基金结算；</w:t>
            </w:r>
          </w:p>
          <w:p w14:paraId="1BF20AE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（八）高套病种编码，转嫁住院费用；</w:t>
            </w:r>
          </w:p>
          <w:p w14:paraId="2D768A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（九）造成医疗保障基金损失的其他违法行为。</w:t>
            </w:r>
          </w:p>
        </w:tc>
        <w:tc>
          <w:tcPr>
            <w:tcW w:w="2017" w:type="dxa"/>
            <w:tcBorders>
              <w:top w:val="single" w:color="auto" w:sz="4" w:space="0"/>
              <w:left w:val="nil"/>
              <w:bottom w:val="single" w:color="auto" w:sz="4" w:space="0"/>
              <w:right w:val="single" w:color="auto" w:sz="8" w:space="0"/>
              <w:tl2br w:val="nil"/>
              <w:tr2bl w:val="nil"/>
            </w:tcBorders>
            <w:tcMar>
              <w:top w:w="15" w:type="dxa"/>
              <w:left w:w="15" w:type="dxa"/>
              <w:right w:w="15" w:type="dxa"/>
            </w:tcMar>
            <w:vAlign w:val="center"/>
          </w:tcPr>
          <w:p w14:paraId="6CA2471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苏州市医疗保障局及各市（区）医疗保障行政部门</w:t>
            </w:r>
          </w:p>
        </w:tc>
      </w:tr>
      <w:tr w14:paraId="6F0EC426">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2694" w:hRule="atLeast"/>
        </w:trPr>
        <w:tc>
          <w:tcPr>
            <w:tcW w:w="432" w:type="dxa"/>
            <w:tcBorders>
              <w:top w:val="single" w:color="auto" w:sz="4" w:space="0"/>
              <w:left w:val="single" w:color="auto" w:sz="8" w:space="0"/>
              <w:bottom w:val="single" w:color="auto" w:sz="6" w:space="0"/>
              <w:right w:val="nil"/>
            </w:tcBorders>
            <w:tcMar>
              <w:top w:w="15" w:type="dxa"/>
              <w:left w:w="15" w:type="dxa"/>
              <w:right w:w="15" w:type="dxa"/>
            </w:tcMar>
            <w:vAlign w:val="center"/>
          </w:tcPr>
          <w:p w14:paraId="183E3B7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tcBorders>
              <w:top w:val="single" w:color="auto" w:sz="4" w:space="0"/>
              <w:left w:val="nil"/>
              <w:bottom w:val="single" w:color="auto" w:sz="6" w:space="0"/>
              <w:right w:val="nil"/>
            </w:tcBorders>
            <w:tcMar>
              <w:top w:w="15" w:type="dxa"/>
              <w:left w:w="15" w:type="dxa"/>
              <w:right w:w="15" w:type="dxa"/>
            </w:tcMar>
            <w:vAlign w:val="center"/>
          </w:tcPr>
          <w:p w14:paraId="60E52F5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定点医药机构实施《社会保险法》第八十七条、《医疗保障基金使用监督管理条例》第四十条或者《江苏省医疗保障条例》第七十五条的违法行为，骗取医保基金支出</w:t>
            </w:r>
          </w:p>
        </w:tc>
        <w:tc>
          <w:tcPr>
            <w:tcW w:w="2693" w:type="dxa"/>
            <w:tcBorders>
              <w:top w:val="single" w:color="auto" w:sz="4" w:space="0"/>
              <w:left w:val="nil"/>
              <w:bottom w:val="single" w:color="auto" w:sz="6" w:space="0"/>
              <w:right w:val="nil"/>
            </w:tcBorders>
            <w:tcMar>
              <w:top w:w="15" w:type="dxa"/>
              <w:left w:w="15" w:type="dxa"/>
              <w:right w:w="15" w:type="dxa"/>
            </w:tcMar>
            <w:vAlign w:val="center"/>
          </w:tcPr>
          <w:p w14:paraId="1764798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1.违法行为轻微并及时改正，没有造成危害后果的，即：骗取医保基金不满3人次且金额较小，在医保部门或司法机关发现前改正并退回骗取的医保基金，且没有造成其他不良影响。</w:t>
            </w:r>
          </w:p>
          <w:p w14:paraId="11732F7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初次违法且危害后果轻微并及时改正的，即：定点医药机构二年内在本市范围内第一次实施协助骗保的违法行为，在医保部门调查时能停止实施违法行为，如实陈述违法事实并提供证据材料，积极配合医保部门查处；协助骗取医保基金不满3人次且协助的个人骗保行为未被行政处罚或追究刑事责任，或者累计协助骗保金额不满1000元；骗取的医保基金已全部退回；没有其他违法行为被医保部门同案调查并认定违法；没有造成其他不良影响。</w:t>
            </w:r>
          </w:p>
          <w:p w14:paraId="5E7127B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定点医药机构在本次违法行为发生前二年内因其他违反医保基金使用规定的行为被医保行政部门行政处罚的，不适用本条免罚。</w:t>
            </w:r>
          </w:p>
          <w:p w14:paraId="29D3367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3.当事人有证据足以证明没有主观过错的，即定点医药机构提供符合《行政诉讼法》证据要求的证据，能够形成较完整的证据链证明该机构对发生的违法行为没有主观上的故意或过失。</w:t>
            </w:r>
          </w:p>
          <w:p w14:paraId="44CBEC0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4.备注：</w:t>
            </w:r>
          </w:p>
          <w:p w14:paraId="3AD4EC0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（1）不予处罚条件3条满足任意1条即可免罚。</w:t>
            </w:r>
          </w:p>
          <w:p w14:paraId="065C0DA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（2）金额较小，以不满《关于在医疗保障基金监管工作中加强与纪检监察机关信息贯通的通知》(医保发〔2024〕28 号)中通报纪检监察机关标准的10%计算。</w:t>
            </w:r>
          </w:p>
          <w:p w14:paraId="46D715C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5812" w:type="dxa"/>
            <w:tcBorders>
              <w:top w:val="single" w:color="auto" w:sz="4" w:space="0"/>
              <w:left w:val="nil"/>
              <w:bottom w:val="single" w:color="auto" w:sz="6" w:space="0"/>
              <w:right w:val="nil"/>
            </w:tcBorders>
            <w:tcMar>
              <w:top w:w="15" w:type="dxa"/>
              <w:left w:w="15" w:type="dxa"/>
              <w:right w:w="15" w:type="dxa"/>
            </w:tcMar>
          </w:tcPr>
          <w:p w14:paraId="334F242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【法律】《行政处罚法》第三十三条</w:t>
            </w:r>
          </w:p>
          <w:p w14:paraId="077653C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p w14:paraId="21CD982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当事人有证据足以证明没有主观过错的，不予行政处罚。法律、行政法规另有规定的，从其规定。</w:t>
            </w:r>
          </w:p>
          <w:p w14:paraId="20DD98F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对当事人的违法行为依法不予行政处罚的，行政机关应当对当事人进行教育。</w:t>
            </w:r>
          </w:p>
          <w:p w14:paraId="702D05B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【法律】《社会保险法》第八十七条</w:t>
            </w:r>
          </w:p>
          <w:p w14:paraId="49F0073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社会保险经办机构以及医疗机构、药品经营单位等社会保险服务机构以欺诈、伪造证明材料或者其他手段骗取社会保险基金支出的，由社会保险行政部门责令退回骗取的社会保险金，处骗取金额二倍以上五倍以下的罚款；属于社会保险服务机构的，解除服务协议；直接负责的主管人员和其他直接责任人员有执业资格的，依法吊销其执业资格。</w:t>
            </w:r>
          </w:p>
          <w:p w14:paraId="663F449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【行政法规】</w:t>
            </w:r>
            <w:r>
              <w:rPr>
                <w:rFonts w:hint="eastAsia" w:asciiTheme="minorEastAsia" w:hAnsiTheme="minorEastAsia" w:eastAsiaTheme="minorEastAsia" w:cstheme="minorEastAsia"/>
                <w:spacing w:val="-2"/>
                <w:kern w:val="0"/>
                <w:sz w:val="22"/>
                <w:szCs w:val="20"/>
                <w:lang w:val="en" w:eastAsia="zh-CN"/>
              </w:rPr>
              <w:t>《医疗保障基金使用监督管理条例》</w:t>
            </w:r>
            <w:r>
              <w:rPr>
                <w:rFonts w:hint="eastAsia" w:asciiTheme="minorEastAsia" w:hAnsiTheme="minorEastAsia" w:eastAsiaTheme="minorEastAsia" w:cstheme="minorEastAsia"/>
                <w:spacing w:val="-2"/>
                <w:kern w:val="0"/>
                <w:sz w:val="22"/>
                <w:szCs w:val="20"/>
                <w:lang w:val="en-US" w:eastAsia="zh-CN"/>
              </w:rPr>
              <w:t>第四十条</w:t>
            </w:r>
          </w:p>
          <w:p w14:paraId="4E27C97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通过下列方式骗取医疗保障基金支出的，由医疗保障行政部门责令退回，处骗取金额2倍以上5倍以下的罚款；责令定点医药机构暂停相关责任部门6个月以上1年以下涉及医疗保障基金使用的医药服务，直至由医疗保障经办机构解除服务协议；有执业资格的，由有关主管部门依法吊销执业资格：</w:t>
            </w:r>
          </w:p>
          <w:p w14:paraId="331E1C2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（一）诱导、协助他人冒名或者虚假就医、购药，提供虚假证明材料，或者串通他人虚开费用单据；</w:t>
            </w:r>
          </w:p>
          <w:p w14:paraId="134A54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（二）伪造、变造、隐匿、涂改、销毁医学文书、医学证明、会计凭证、电子信息等有关资料；</w:t>
            </w:r>
          </w:p>
          <w:p w14:paraId="3267A4E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（三）虚构医药服务项目；</w:t>
            </w:r>
          </w:p>
          <w:p w14:paraId="53FF5E7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（四）其他骗取医疗保障基金支出的行为。</w:t>
            </w:r>
          </w:p>
          <w:p w14:paraId="07D7862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定点医药机构以骗取医疗保障基金为目的，实施了本条例第三十八条规定行为之一，造成医疗保障基金损失的，按照本条规定处理。</w:t>
            </w:r>
          </w:p>
          <w:p w14:paraId="4E0B75D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【地方法规】《江苏省医疗保障条例》第七十五条</w:t>
            </w:r>
          </w:p>
          <w:p w14:paraId="535F95A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通过下列方式骗取医疗保障基金支出的，由医疗保障行政部门责令退回，处骗取金额二倍以上五倍以下的罚款；责令定点医药机构暂停相关责任部门六个月以上一年以下涉及医疗保障基金使用的医药服务，直至由医疗保障经办机构解除服务协议；有执业资格的，由有关主管部门依法吊销执业资格：</w:t>
            </w:r>
          </w:p>
          <w:p w14:paraId="441952B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（一）诱导、协助他人冒名或者虚假就医、购药，提供虚假证明材料，或者串通他人虚开费用单据；</w:t>
            </w:r>
          </w:p>
          <w:p w14:paraId="5422B6A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（二）伪造、变造、隐匿、涂改、销毁医学文书、医学证明、会计凭证、电子信息等有关资料；</w:t>
            </w:r>
          </w:p>
          <w:p w14:paraId="791827C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（三）虚构医药服务项目；</w:t>
            </w:r>
          </w:p>
          <w:p w14:paraId="7F50003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（四）其他骗取医疗保障基金支出的行为。</w:t>
            </w:r>
          </w:p>
          <w:p w14:paraId="706E079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定点医药机构以骗取医疗保障基金为目的，实施本条例第七十三条规定行为之一，造成医疗保障基金损失的，按照本条规定处理。</w:t>
            </w:r>
          </w:p>
        </w:tc>
        <w:tc>
          <w:tcPr>
            <w:tcW w:w="2017" w:type="dxa"/>
            <w:tcBorders>
              <w:top w:val="single" w:color="auto" w:sz="4" w:space="0"/>
              <w:left w:val="nil"/>
              <w:bottom w:val="single" w:color="auto" w:sz="6" w:space="0"/>
              <w:right w:val="single" w:color="auto" w:sz="8" w:space="0"/>
            </w:tcBorders>
            <w:tcMar>
              <w:top w:w="15" w:type="dxa"/>
              <w:left w:w="15" w:type="dxa"/>
              <w:right w:w="15" w:type="dxa"/>
            </w:tcMar>
            <w:vAlign w:val="center"/>
          </w:tcPr>
          <w:p w14:paraId="669BA04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苏州市医疗保障局及各市（区）医疗保障行政主管部门</w:t>
            </w:r>
          </w:p>
        </w:tc>
      </w:tr>
      <w:tr w14:paraId="7490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EB6D3D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3A29FDE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对违反国家规定不修建战时可用于防空的地下室的处罚</w:t>
            </w:r>
          </w:p>
        </w:tc>
        <w:tc>
          <w:tcPr>
            <w:tcW w:w="2693" w:type="dxa"/>
            <w:noWrap w:val="0"/>
            <w:vAlign w:val="center"/>
          </w:tcPr>
          <w:p w14:paraId="6A80410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未修建防空地下室，面积500平方米以下，且不超过批建面积的10%，初次违法且积极配合及时改正或按照标准缴纳易地建设费</w:t>
            </w:r>
          </w:p>
        </w:tc>
        <w:tc>
          <w:tcPr>
            <w:tcW w:w="5812" w:type="dxa"/>
            <w:noWrap w:val="0"/>
            <w:vAlign w:val="center"/>
          </w:tcPr>
          <w:p w14:paraId="0C0FCC1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【法律】《中华人民共和国人民防空法》</w:t>
            </w:r>
          </w:p>
          <w:p w14:paraId="57B8F7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第二十二条  城市新建民用建筑，按照国家有关规定修建战时可用于防空的地下室。</w:t>
            </w:r>
          </w:p>
          <w:p w14:paraId="6CF3E6A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第四十八条  城市新建民用建筑，违反国家有关规定不修建战时可用于防空的地下室的，由县级以上人民政府人民防空主管部门对当事人给予警告，并责令限期修建，可以并处十万元以下的罚款。</w:t>
            </w:r>
          </w:p>
          <w:p w14:paraId="1FA7815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【地方性法规】《江苏省实施〈中华人民共和国人民防空法〉办法》</w:t>
            </w:r>
          </w:p>
          <w:p w14:paraId="13BDAF0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第十二条第一款　城市新建民用建筑，必须按照国家有关规定修建战时可用于防空的地下室（以下简称防空地下室），并与地面建筑同步规划、设计、建设、竣工验收，其建设经费纳入建设项目投资计划。</w:t>
            </w:r>
          </w:p>
          <w:p w14:paraId="7F46490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第三十三条第一款  违反本办法第十二条第一款的规定，不修建防空地下室的，由人防主管部门对当事人给予警告，责令限期修建，可以并处五万元以上十万以下的罚款；因主体工程完工无法补建的，应当缴纳易地建设费，并处五万元以上十万元以下的罚款。</w:t>
            </w:r>
          </w:p>
        </w:tc>
        <w:tc>
          <w:tcPr>
            <w:tcW w:w="2017" w:type="dxa"/>
            <w:noWrap w:val="0"/>
            <w:vAlign w:val="center"/>
          </w:tcPr>
          <w:p w14:paraId="2414B4C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苏州市国动办（人防办）</w:t>
            </w:r>
          </w:p>
          <w:p w14:paraId="1BE9288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287DDC1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各县级市（区）人民防空主管部门</w:t>
            </w:r>
          </w:p>
        </w:tc>
      </w:tr>
      <w:tr w14:paraId="74C3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9C90AF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345191E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对侵占人民防空工程的处罚</w:t>
            </w:r>
          </w:p>
        </w:tc>
        <w:tc>
          <w:tcPr>
            <w:tcW w:w="2693" w:type="dxa"/>
            <w:noWrap w:val="0"/>
            <w:vAlign w:val="center"/>
          </w:tcPr>
          <w:p w14:paraId="36E6BB8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侵占人民防空工程500平方米以下，初次违法并及时改正违法行为，未造成损失的</w:t>
            </w:r>
          </w:p>
        </w:tc>
        <w:tc>
          <w:tcPr>
            <w:tcW w:w="5812" w:type="dxa"/>
            <w:noWrap w:val="0"/>
            <w:vAlign w:val="center"/>
          </w:tcPr>
          <w:p w14:paraId="0E40785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【法律】《中华人民共和国人民防空法》</w:t>
            </w:r>
          </w:p>
          <w:p w14:paraId="6FC63CA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第二十三条第一款  人民防空工程建设的设计、施工、质量必须符合国家规定的防护标准和质量标准。</w:t>
            </w:r>
          </w:p>
          <w:p w14:paraId="11B53C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第四十九条  有下列行为之一的，由县级以上人民政府人民防空主管部门对当事人给予警告，并责令限期改正违法行为，可以对个人并处五千元以下的罚款、对单位并处一万元至五万元的罚款；造成损失的，应当依法赔偿损失：</w:t>
            </w:r>
          </w:p>
          <w:p w14:paraId="0CBC561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（二）不按照国家规定的防护标准和质量标准修建人民防空工程；</w:t>
            </w:r>
          </w:p>
          <w:p w14:paraId="3E814A7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【地方性法规】《江苏省实施〈中华人民共和国人民防空法〉办法》</w:t>
            </w:r>
          </w:p>
          <w:p w14:paraId="4543F53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第十三条第一款  人民防空工程建设项目应当按照国家和省有关规定，实行招标投标制度。承担人民防空工程任务的单位，应当具有与该工程项目相适应的工程设计、施工和监理资质，并严格执行国家规定的人民防空工程防护标准、质量标准、技术规范等。</w:t>
            </w:r>
          </w:p>
          <w:p w14:paraId="1E9A612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第三十四条第一款  违反本办法第十八条第一款规定，或者有下列行为之一的，由人防主管部门对当事人给予警告，并责令限期改正违法行为，可以对个人并处一千元以上五千元以下的罚款，对单位并处一万元以上至五万元以下的罚款；造成损失的，应当依法赔偿损失：</w:t>
            </w:r>
          </w:p>
          <w:p w14:paraId="7A7522C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（二）不按照国家规定的防护标准和质量标准修建人民防空工程：</w:t>
            </w:r>
          </w:p>
        </w:tc>
        <w:tc>
          <w:tcPr>
            <w:tcW w:w="2017" w:type="dxa"/>
            <w:noWrap w:val="0"/>
            <w:vAlign w:val="center"/>
          </w:tcPr>
          <w:p w14:paraId="2F4E5FC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苏州市国动办（人防办）</w:t>
            </w:r>
          </w:p>
          <w:p w14:paraId="25200E0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34BECC2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各县级市（区）人民防空主管部门</w:t>
            </w:r>
          </w:p>
        </w:tc>
      </w:tr>
      <w:tr w14:paraId="3DA5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9C1019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1DB9259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对占用人民防空通信专用频率、使用与防空警报相同的音响信号、延误传递防空警报信号或者擅自拆除人民防空通信、警报设备设施的处罚</w:t>
            </w:r>
          </w:p>
        </w:tc>
        <w:tc>
          <w:tcPr>
            <w:tcW w:w="2693" w:type="dxa"/>
            <w:noWrap w:val="0"/>
            <w:vAlign w:val="center"/>
          </w:tcPr>
          <w:p w14:paraId="6DDD117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初次占用人民防空通信专用频率、使用与防空警报相同的音响信号且危害后果轻微，责令限期改正后及时改正的</w:t>
            </w:r>
          </w:p>
        </w:tc>
        <w:tc>
          <w:tcPr>
            <w:tcW w:w="5812" w:type="dxa"/>
            <w:noWrap w:val="0"/>
            <w:vAlign w:val="center"/>
          </w:tcPr>
          <w:p w14:paraId="25B37E1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【法律】《中华人民共和国人民防空法》</w:t>
            </w:r>
          </w:p>
          <w:p w14:paraId="189A0D4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第三十二条第二款  国家用于人民防空通信的专用频率和防空警报音响信号，任何组织或者个人不得占用、混同。</w:t>
            </w:r>
          </w:p>
          <w:p w14:paraId="5C469DF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第三十五条第一款  人民防空通信、警报设施必须保持良好使用状态。</w:t>
            </w:r>
          </w:p>
          <w:p w14:paraId="518591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第三十五条第二款  设置在有关单位的人民防空警报设施，由其所在单位维护管理，不得擅自拆除。</w:t>
            </w:r>
          </w:p>
          <w:p w14:paraId="6875E38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第四十九条  有下列行为之一的，由县级以上人民政府人民防空主管部门对当事人给予警告，并责令限期改正违法行为，可以对个人并处五千元以下的罚款、对单位并处一万元至五万元的罚款；造成损失的，应当依法赔偿损失：</w:t>
            </w:r>
          </w:p>
          <w:p w14:paraId="131D291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（五）占用人民防空通信专用频率、使用与防空警报相同的音响信号或者擅自拆除人民防空通信、警报设备设施的；</w:t>
            </w:r>
          </w:p>
          <w:p w14:paraId="7BC9BAB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【地方性法规】《江苏省实施〈中华人民共和国人民防空法〉办法》</w:t>
            </w:r>
          </w:p>
          <w:p w14:paraId="4AF836C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第十九条第二款  通信、广播电视、无线电等管理部门和电力、通信企业应当在网络、频率、供电等方面提供优先保障，确保人民防空通信和警报信号传递发放顺畅稳定。用于人民防空通信的专用频率和防空警报音响信号，任何单位和个人不得占用、混同。</w:t>
            </w:r>
          </w:p>
          <w:p w14:paraId="40C5AF9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第十九条第三款  禁止擅自搬迁或者拆除、毁坏人民防空通信警报设施。确因建设需要拆迁的，必须按照城市通信警报规划和战备要求进行易地重建，拆迁和重建经费由拆迁单位承担。</w:t>
            </w:r>
          </w:p>
          <w:p w14:paraId="7F42A9C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第三十四条第一款  违反本办法第十八条第一款规定，或者有下列行为之一的，由人防主管部门对当事人给予警告，并责令限期改正违法行为，可以对个人并处一千元以上五千元以下的罚款，对单位并处一万元以上至五万元以下的罚款；造成损失的，应当依法赔偿损失：</w:t>
            </w:r>
          </w:p>
          <w:p w14:paraId="0542C00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（四）占用人民防空通信专用频率、使用与防空警报相同的音响信号、延误传递防空警报信号或者擅自拆除人民防空通信、警报设备设施的；</w:t>
            </w:r>
          </w:p>
        </w:tc>
        <w:tc>
          <w:tcPr>
            <w:tcW w:w="2017" w:type="dxa"/>
            <w:noWrap w:val="0"/>
            <w:vAlign w:val="center"/>
          </w:tcPr>
          <w:p w14:paraId="666581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苏州市国动办（人防办）</w:t>
            </w:r>
          </w:p>
          <w:p w14:paraId="28B4F46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65D852F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各县级市（区）人民防空主管部门</w:t>
            </w:r>
          </w:p>
        </w:tc>
      </w:tr>
      <w:tr w14:paraId="3CC8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CA115A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24D9547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对不按照国家规定的防护标准和质量标准修建人民防空工程的处罚</w:t>
            </w:r>
          </w:p>
        </w:tc>
        <w:tc>
          <w:tcPr>
            <w:tcW w:w="2693" w:type="dxa"/>
            <w:noWrap w:val="0"/>
            <w:vAlign w:val="center"/>
          </w:tcPr>
          <w:p w14:paraId="04FBE59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人民防空工程参建单位初次违反国家规定的防护标准和质量标准修建人民防空工程面积在2000平方米以下，人防主管部门责令限期改正后及时改正的</w:t>
            </w:r>
          </w:p>
        </w:tc>
        <w:tc>
          <w:tcPr>
            <w:tcW w:w="5812" w:type="dxa"/>
            <w:noWrap w:val="0"/>
            <w:vAlign w:val="center"/>
          </w:tcPr>
          <w:p w14:paraId="0739811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【法律】《中华人民共和国人民防空法》</w:t>
            </w:r>
          </w:p>
          <w:p w14:paraId="3C404B5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第二十三条第一款　人民防空工程建设的设计、施工、质量必须符合国家规定的防护标准和质量标准。</w:t>
            </w:r>
          </w:p>
          <w:p w14:paraId="3D240F1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【地方性法规】《江苏省实施&lt;中华人民共和国人民防空法&gt;办法》</w:t>
            </w:r>
          </w:p>
          <w:p w14:paraId="183EB83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第十三条第一款　人民防空工程建设项目应当按照国家和省有关规定，实行招标投标制度。承担人民防空工程任务的单位，应当具有与该工程项目相适应的工程设计、施工和监理资质，并严格执行国家规定的人民防空工程防护标准、质量标准、技术规范等。</w:t>
            </w:r>
          </w:p>
        </w:tc>
        <w:tc>
          <w:tcPr>
            <w:tcW w:w="2017" w:type="dxa"/>
            <w:noWrap w:val="0"/>
            <w:vAlign w:val="center"/>
          </w:tcPr>
          <w:p w14:paraId="57F230F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苏州市国动办（人防办）</w:t>
            </w:r>
          </w:p>
          <w:p w14:paraId="31BBB7F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613A42F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各县级市（区）人民防空主管部门</w:t>
            </w:r>
          </w:p>
        </w:tc>
      </w:tr>
      <w:tr w14:paraId="0A40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EA93E0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633B73B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对影响人民防空工程使用或者降低人民防空工程防护能力的作业的处罚</w:t>
            </w:r>
          </w:p>
        </w:tc>
        <w:tc>
          <w:tcPr>
            <w:tcW w:w="2693" w:type="dxa"/>
            <w:noWrap w:val="0"/>
            <w:vAlign w:val="center"/>
          </w:tcPr>
          <w:p w14:paraId="1D577C9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初次违法且积极配合检查人员查处改正违法行为，未对工程的防护能力造成实质性影响、危害后果轻微的</w:t>
            </w:r>
          </w:p>
        </w:tc>
        <w:tc>
          <w:tcPr>
            <w:tcW w:w="5812" w:type="dxa"/>
            <w:noWrap w:val="0"/>
            <w:vAlign w:val="center"/>
          </w:tcPr>
          <w:p w14:paraId="6CD6BB9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【地方性法规】《江苏省实施〈中华人民共和国人民防空法〉办法》</w:t>
            </w:r>
          </w:p>
          <w:p w14:paraId="056FE5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第十八条　任何组织或者个人不得进行下列影响人民防空工程使用或者降低人民防空工程防护能力的作业：</w:t>
            </w:r>
          </w:p>
          <w:p w14:paraId="21F3923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（一）在危害人民防空工程安全的范围内进行采石、伐木、取土、爆破、挖洞、开沟、植桩等；</w:t>
            </w:r>
          </w:p>
          <w:p w14:paraId="04BC250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（二）在影响人民防空工程进出和正常使用的范围内设置障碍、堆放物品、新建建筑物；</w:t>
            </w:r>
          </w:p>
          <w:p w14:paraId="697CC1B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（三）向人民防空工程内排入废水、废气和倾倒废弃物；</w:t>
            </w:r>
          </w:p>
          <w:p w14:paraId="669AE02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（四）在人民防空工程内或者危及其安全的范围内生产、储存爆炸、剧毒、易燃、放射性和腐蚀性物品；</w:t>
            </w:r>
          </w:p>
          <w:p w14:paraId="25B7DBF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（五）擅自将管网、线缆穿越人民防空工程；</w:t>
            </w:r>
          </w:p>
          <w:p w14:paraId="4FE5646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（六）毁损人民防空工程孔口伪装、地面附属设施以及防洪、防倒灌设施，堵塞或者截断人民防空工程的出入口、进排风竖井、进排水管道；</w:t>
            </w:r>
          </w:p>
          <w:p w14:paraId="2162DF3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（七）擅自改变人民防空工程主体结构、拆除防护设施，进行穿墙打孔等影响防护效能的改造和装修；</w:t>
            </w:r>
          </w:p>
          <w:p w14:paraId="3AB3E42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（八）占用人民防空工程通风、配电等设备用房作其他用途。</w:t>
            </w:r>
          </w:p>
          <w:p w14:paraId="4CE0D7D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第三十四条第一款  违反本办法第十八条第一款规定，或者有下列行为之一的，由人防主管部门对当事人给予警告，并责令限期改正违法行为，可以对个人并处一千元以上五千元以下的罚款，对单位并处一万元以上至五万元以下的罚款；造成损失的，应当依法赔偿损失：</w:t>
            </w:r>
          </w:p>
        </w:tc>
        <w:tc>
          <w:tcPr>
            <w:tcW w:w="2017" w:type="dxa"/>
            <w:noWrap w:val="0"/>
            <w:vAlign w:val="center"/>
          </w:tcPr>
          <w:p w14:paraId="51E196A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苏州市国动办（人防办）</w:t>
            </w:r>
          </w:p>
          <w:p w14:paraId="4DB8B3B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2216CB0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各县级市（区）人民防空主管部门</w:t>
            </w:r>
          </w:p>
        </w:tc>
      </w:tr>
      <w:tr w14:paraId="1D69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2D0028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58CC9A0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对人防工程维护管理不当影响防护效能的处罚</w:t>
            </w:r>
          </w:p>
        </w:tc>
        <w:tc>
          <w:tcPr>
            <w:tcW w:w="2693" w:type="dxa"/>
            <w:noWrap w:val="0"/>
            <w:vAlign w:val="center"/>
          </w:tcPr>
          <w:p w14:paraId="7A5A774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人防工程出现2处以下的渗漏水现象，防护设施设备出现局部锈蚀损害，初次违法且责令限期修复后及时修复后不影响防护效能的</w:t>
            </w:r>
          </w:p>
        </w:tc>
        <w:tc>
          <w:tcPr>
            <w:tcW w:w="5812" w:type="dxa"/>
            <w:noWrap w:val="0"/>
            <w:vAlign w:val="center"/>
          </w:tcPr>
          <w:p w14:paraId="3B86103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【地方性法规】《江苏省实施〈中华人民共和国人民防空法〉办法》</w:t>
            </w:r>
          </w:p>
          <w:p w14:paraId="4B32CD1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第十七条第一款 人民防空工程的平时维护管理实行分类负责。公用的人民防空工程，由人防主管部门负责；单位修建或者使用的人民防空工程，按照国家规定由单位负责；个人投资建设的人民防空工程由投资者负责。</w:t>
            </w:r>
          </w:p>
          <w:p w14:paraId="388A1D0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第十七条第二款  人民防空工程的平时维护管理应当执行国家和省有关规定，落实维护管理资金，使其保持良好使用状态。</w:t>
            </w:r>
          </w:p>
          <w:p w14:paraId="6C2C558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第三十四条第二款  人防主管部门在对人防工程进行监督检查时，发现人防工程维护管理不当影响防护效能的，应当责令人防工程维护管理责任人限期修复，可以对个人并处一千元以上五千元以下的罚款，对单位并处一万元以上五万元以下的罚款。"</w:t>
            </w:r>
          </w:p>
        </w:tc>
        <w:tc>
          <w:tcPr>
            <w:tcW w:w="2017" w:type="dxa"/>
            <w:noWrap w:val="0"/>
            <w:vAlign w:val="center"/>
          </w:tcPr>
          <w:p w14:paraId="5FFAA93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苏州市国动办（人防办）</w:t>
            </w:r>
          </w:p>
          <w:p w14:paraId="303E928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3894518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各县级市（区）人民防空主管部门</w:t>
            </w:r>
          </w:p>
        </w:tc>
      </w:tr>
      <w:tr w14:paraId="1F85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82319F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shd w:val="clear" w:color="auto" w:fill="auto"/>
            <w:noWrap w:val="0"/>
            <w:vAlign w:val="center"/>
          </w:tcPr>
          <w:p w14:paraId="3888162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对将平时用作停车位的人民防空工程不向业主开放、出租停车位的租赁期限超过三年或者将停车位出售、附赠的处罚</w:t>
            </w:r>
          </w:p>
        </w:tc>
        <w:tc>
          <w:tcPr>
            <w:tcW w:w="2693" w:type="dxa"/>
            <w:shd w:val="clear" w:color="auto" w:fill="auto"/>
            <w:noWrap w:val="0"/>
            <w:vAlign w:val="center"/>
          </w:tcPr>
          <w:p w14:paraId="4ABF934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当事人初次违法且积极配合，涉及人防车位10个以下、按期改正，未造成不良影响的</w:t>
            </w:r>
          </w:p>
        </w:tc>
        <w:tc>
          <w:tcPr>
            <w:tcW w:w="5812" w:type="dxa"/>
            <w:shd w:val="clear" w:color="auto" w:fill="auto"/>
            <w:noWrap w:val="0"/>
            <w:vAlign w:val="center"/>
          </w:tcPr>
          <w:p w14:paraId="079CEE8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【地方性法规】《江苏省物业管理条例》</w:t>
            </w:r>
          </w:p>
          <w:p w14:paraId="2491DA6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第六十七条第二款 物业管理区域内依法配建的人民防空工程平时用作停车位的，应当向业主开放，出租的租赁期限不得超过三年，不得将停车位出售、附赠。</w:t>
            </w:r>
          </w:p>
          <w:p w14:paraId="708C2D0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第九十条  违反本条例第六十七条第二款规定，将平时用作停车位的人民防空工程不向业主开放、出租停车位的租赁期限超过三年或者将停车位出售、附赠的，由县级以上民防行政主管部门责令限期改正，没收违法所得；逾期不改正的，处五万元以上二十万元以下罚款。</w:t>
            </w:r>
          </w:p>
        </w:tc>
        <w:tc>
          <w:tcPr>
            <w:tcW w:w="2017" w:type="dxa"/>
            <w:shd w:val="clear" w:color="auto" w:fill="auto"/>
            <w:noWrap w:val="0"/>
            <w:vAlign w:val="center"/>
          </w:tcPr>
          <w:p w14:paraId="77195C1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苏州市国动办（人防办）</w:t>
            </w:r>
          </w:p>
          <w:p w14:paraId="7A8F371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0C47A69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各县级市（区）人民防空主管部门</w:t>
            </w:r>
          </w:p>
        </w:tc>
      </w:tr>
      <w:tr w14:paraId="2070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B50D67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shd w:val="clear" w:color="auto" w:fill="auto"/>
            <w:noWrap w:val="0"/>
            <w:vAlign w:val="center"/>
          </w:tcPr>
          <w:p w14:paraId="74FCAF4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对未达到人防工程维护管理要求的处罚</w:t>
            </w:r>
          </w:p>
        </w:tc>
        <w:tc>
          <w:tcPr>
            <w:tcW w:w="2693" w:type="dxa"/>
            <w:shd w:val="clear" w:color="auto" w:fill="auto"/>
            <w:noWrap w:val="0"/>
            <w:vAlign w:val="center"/>
          </w:tcPr>
          <w:p w14:paraId="2DD34DE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人防工程出现2处以下的渗漏水现象，初次违法且责令限期修复后及时修复后不影响防护效能的</w:t>
            </w:r>
          </w:p>
        </w:tc>
        <w:tc>
          <w:tcPr>
            <w:tcW w:w="5812" w:type="dxa"/>
            <w:shd w:val="clear" w:color="auto" w:fill="auto"/>
            <w:noWrap w:val="0"/>
            <w:vAlign w:val="center"/>
          </w:tcPr>
          <w:p w14:paraId="0A47812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【地方政府规章】《江苏省人民防空工程维护管理规定》（省政府令第165号）</w:t>
            </w:r>
          </w:p>
          <w:p w14:paraId="61F2F2C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第十二条　人防工程维护管理应当按照国家有关规定执行，并达到下列要求：</w:t>
            </w:r>
          </w:p>
          <w:p w14:paraId="0228005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（一）工程结构完好；</w:t>
            </w:r>
          </w:p>
          <w:p w14:paraId="690E478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（二）人防专用设备设施性能完好，金属构件无锈蚀和损坏；</w:t>
            </w:r>
          </w:p>
          <w:p w14:paraId="65E8416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（三）工程口部畅通，防汛及地面附属设施完好；</w:t>
            </w:r>
          </w:p>
          <w:p w14:paraId="528D2A0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（四）工程的消防设施，风、水、电、信息等系统工作正常；</w:t>
            </w:r>
          </w:p>
          <w:p w14:paraId="2DFC8B4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（五）工程内部整洁、无渗漏；</w:t>
            </w:r>
          </w:p>
          <w:p w14:paraId="41BBCC8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（六）工程内无私自改造或者私拉乱接现象；</w:t>
            </w:r>
          </w:p>
          <w:p w14:paraId="7DBF372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（七）工程平战转换所需设备设施按照规定存储；</w:t>
            </w:r>
          </w:p>
          <w:p w14:paraId="58FD407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（八）相关标识标注完整、整洁；</w:t>
            </w:r>
          </w:p>
          <w:p w14:paraId="4FEE4D8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（九）国家和省规定的其他要求。</w:t>
            </w:r>
          </w:p>
          <w:p w14:paraId="1718382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第三十条　对未达到本规定第十二条要求或者违反第二十条规定的，由人防主管部门对当事人给予警告，并责令限期改正，可以对个人并处一千元以上五千元以下罚款，对单位并处一万元以上五万元以下罚款；造成损失的，应当依法赔偿损失。</w:t>
            </w:r>
          </w:p>
        </w:tc>
        <w:tc>
          <w:tcPr>
            <w:tcW w:w="2017" w:type="dxa"/>
            <w:shd w:val="clear" w:color="auto" w:fill="auto"/>
            <w:noWrap w:val="0"/>
            <w:vAlign w:val="center"/>
          </w:tcPr>
          <w:p w14:paraId="23A7B75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苏州市国动办（人防办）</w:t>
            </w:r>
          </w:p>
          <w:p w14:paraId="1033D3B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5C8D8B1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各县级市（区）人民防空主管部门</w:t>
            </w:r>
          </w:p>
        </w:tc>
      </w:tr>
      <w:tr w14:paraId="46A2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3A17D2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noWrap w:val="0"/>
            <w:vAlign w:val="center"/>
          </w:tcPr>
          <w:p w14:paraId="1FDF9A7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纳税人未按照规定的期限申报办理税务登记、变更或者注销登记</w:t>
            </w:r>
          </w:p>
        </w:tc>
        <w:tc>
          <w:tcPr>
            <w:tcW w:w="2693" w:type="dxa"/>
            <w:noWrap w:val="0"/>
            <w:vAlign w:val="center"/>
          </w:tcPr>
          <w:p w14:paraId="300CFE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7A09313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《中华人民共和国税收征收管理法》第六十条第一款第一项纳税人有下列行为之一的，由税务机关责令限期改正，可以处二千元以下的罚款；情节严重的，处二千元以上一万元以下的罚款：</w:t>
            </w:r>
          </w:p>
          <w:p w14:paraId="6966A23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（一）未按照规定的期限申报办理税务登记、变更或者注销登记的 。</w:t>
            </w:r>
          </w:p>
        </w:tc>
        <w:tc>
          <w:tcPr>
            <w:tcW w:w="2017" w:type="dxa"/>
            <w:noWrap w:val="0"/>
            <w:vAlign w:val="center"/>
          </w:tcPr>
          <w:p w14:paraId="46E72E2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60B7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581BDB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196A019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纳税人未按照规定将其全部银行账号向税务机关报告</w:t>
            </w:r>
          </w:p>
        </w:tc>
        <w:tc>
          <w:tcPr>
            <w:tcW w:w="2693" w:type="dxa"/>
            <w:noWrap w:val="0"/>
            <w:vAlign w:val="center"/>
          </w:tcPr>
          <w:p w14:paraId="5AABEF3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624F88F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《中华人民共和国税收征收管理法》第六十条第一款第四项纳税人有下列行为之一的，由税务机关责令限期改正，可以处二千元以下的罚款；情节严重的，处二千元以上一万元以下的罚款 ：</w:t>
            </w:r>
          </w:p>
          <w:p w14:paraId="6195941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（四）未按照规定将其全部银行账号向税务机关报告的 。</w:t>
            </w:r>
          </w:p>
        </w:tc>
        <w:tc>
          <w:tcPr>
            <w:tcW w:w="2017" w:type="dxa"/>
            <w:noWrap w:val="0"/>
            <w:vAlign w:val="center"/>
          </w:tcPr>
          <w:p w14:paraId="402B7C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5789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7C5A8B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262499C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纳税人未按照规定办理税务登记证件验证或者换证手续</w:t>
            </w:r>
          </w:p>
        </w:tc>
        <w:tc>
          <w:tcPr>
            <w:tcW w:w="2693" w:type="dxa"/>
            <w:noWrap w:val="0"/>
            <w:vAlign w:val="center"/>
          </w:tcPr>
          <w:p w14:paraId="58A248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一年内首次违反且危害后果轻微，在税务机关发现前主动改正或者在税务机关责令限期改正的期限内改正的</w:t>
            </w:r>
          </w:p>
        </w:tc>
        <w:tc>
          <w:tcPr>
            <w:tcW w:w="5812" w:type="dxa"/>
            <w:noWrap w:val="0"/>
            <w:vAlign w:val="center"/>
          </w:tcPr>
          <w:p w14:paraId="1F09616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《中华人民共和国税收征收管理法实施细则》第九十条</w:t>
            </w:r>
          </w:p>
          <w:p w14:paraId="6075B70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纳税人未按照规定办理税务登记证件验证或者换证手续的，由税务机关责令限期改正，可以处2000元以下的罚款；情节严重的，处2000元以上1万元以下的罚款 。</w:t>
            </w:r>
          </w:p>
        </w:tc>
        <w:tc>
          <w:tcPr>
            <w:tcW w:w="2017" w:type="dxa"/>
            <w:noWrap w:val="0"/>
            <w:vAlign w:val="center"/>
          </w:tcPr>
          <w:p w14:paraId="113DC61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768C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987855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3C6123A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扣缴义务人未按照规定办理扣缴税款登记</w:t>
            </w:r>
          </w:p>
        </w:tc>
        <w:tc>
          <w:tcPr>
            <w:tcW w:w="2693" w:type="dxa"/>
            <w:noWrap w:val="0"/>
            <w:vAlign w:val="center"/>
          </w:tcPr>
          <w:p w14:paraId="259C5D5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786EEF9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《税务登记管理办法》（国家税务总局令第 7号公布，国家税务总局令第 36号、第44号、第48号修改）第四十二条  扣缴义务人未按照规定办理扣缴税款登记的，税务机关应当自发现之日起 3日内责令其限期改正，并可处以1000元以下的罚款 。</w:t>
            </w:r>
          </w:p>
        </w:tc>
        <w:tc>
          <w:tcPr>
            <w:tcW w:w="2017" w:type="dxa"/>
            <w:noWrap w:val="0"/>
            <w:vAlign w:val="center"/>
          </w:tcPr>
          <w:p w14:paraId="3F1EFC7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52EF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AF48B4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noWrap w:val="0"/>
            <w:vAlign w:val="center"/>
          </w:tcPr>
          <w:p w14:paraId="06E938B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境内机构或个人发包工程作业或劳务项目，未按规定向主管税务机关报告有关事项</w:t>
            </w:r>
          </w:p>
        </w:tc>
        <w:tc>
          <w:tcPr>
            <w:tcW w:w="2693" w:type="dxa"/>
            <w:noWrap w:val="0"/>
            <w:vAlign w:val="center"/>
          </w:tcPr>
          <w:p w14:paraId="0BBE752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28D8346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《非居民承包工程作业和提供劳务税收管理暂行办法》（国家税务总局令第19号公布）第三十三条  境内机构或个人发包工程作业或劳务项目，未按本办法第五条、第七条、第八条、第九条规定向主管税务机关报告有关事项的，由税务机关责令限期改正，可以处 2000元以下的罚款；情节严重的，处2000元以上10000元以下的罚款。</w:t>
            </w:r>
          </w:p>
        </w:tc>
        <w:tc>
          <w:tcPr>
            <w:tcW w:w="2017" w:type="dxa"/>
            <w:noWrap w:val="0"/>
            <w:vAlign w:val="center"/>
          </w:tcPr>
          <w:p w14:paraId="1CFF32A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5585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26E1E3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noWrap w:val="0"/>
            <w:vAlign w:val="center"/>
          </w:tcPr>
          <w:p w14:paraId="2B3E8D8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未按照规定设置、保管账簿或者保管记账凭证和有关资料</w:t>
            </w:r>
          </w:p>
        </w:tc>
        <w:tc>
          <w:tcPr>
            <w:tcW w:w="2693" w:type="dxa"/>
            <w:noWrap w:val="0"/>
            <w:vAlign w:val="center"/>
          </w:tcPr>
          <w:p w14:paraId="3A0DD58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64D564E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《中华人民共和国税收征收管理法》第六十条第一款第二项纳税人有下列行为之一的，由税务机关责令限期改正，可以处二千元以下的罚款；情节严重的，处二千元以上一万元以下的罚款 ：</w:t>
            </w:r>
          </w:p>
          <w:p w14:paraId="77487E9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（二）未按照规定设置、保管账簿或者保管记账凭证和有关资料的 。</w:t>
            </w:r>
          </w:p>
        </w:tc>
        <w:tc>
          <w:tcPr>
            <w:tcW w:w="2017" w:type="dxa"/>
            <w:noWrap w:val="0"/>
            <w:vAlign w:val="center"/>
          </w:tcPr>
          <w:p w14:paraId="39295BD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0225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438072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noWrap w:val="0"/>
            <w:vAlign w:val="center"/>
          </w:tcPr>
          <w:p w14:paraId="1DA70A1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未按照规定将财务、会计制度或者财务、会计处理办法和会计核算软件报送税务机关备查</w:t>
            </w:r>
          </w:p>
        </w:tc>
        <w:tc>
          <w:tcPr>
            <w:tcW w:w="2693" w:type="dxa"/>
            <w:noWrap w:val="0"/>
            <w:vAlign w:val="center"/>
          </w:tcPr>
          <w:p w14:paraId="0AD22F2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30A6BE8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《中华人民共和国税收征收管理法》第六十条第一款第三项纳税人有下列行为之一的，由税务机关责令限期改正，可以处二千元以下的罚款；情节严重的，处二千元以上一万元以下的罚款 ：</w:t>
            </w:r>
          </w:p>
          <w:p w14:paraId="7CB686C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（三）未按照规定将财务、会计制度或者财务、会计处理办法和会计核算软件报送税务机关备查的 。</w:t>
            </w:r>
          </w:p>
        </w:tc>
        <w:tc>
          <w:tcPr>
            <w:tcW w:w="2017" w:type="dxa"/>
            <w:noWrap w:val="0"/>
            <w:vAlign w:val="center"/>
          </w:tcPr>
          <w:p w14:paraId="20E7D39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32FC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979B94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p w14:paraId="2B20C9A7">
            <w:pPr>
              <w:widowControl/>
              <w:numPr>
                <w:ilvl w:val="0"/>
                <w:numId w:val="0"/>
              </w:numPr>
              <w:spacing w:line="320" w:lineRule="exact"/>
              <w:ind w:left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2A73A39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未按照规定安装、使用税控装置</w:t>
            </w:r>
          </w:p>
        </w:tc>
        <w:tc>
          <w:tcPr>
            <w:tcW w:w="2693" w:type="dxa"/>
            <w:noWrap w:val="0"/>
            <w:vAlign w:val="center"/>
          </w:tcPr>
          <w:p w14:paraId="51B5BBE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3759C23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《中华人民共和国税收征收管理法》第六十条第一款第五项纳税人有下列行为之一的，由税务机关责令限期改正，可以处二千元以下的罚款；情节严重的，处二千元以上一万元以下的罚款 ：</w:t>
            </w:r>
          </w:p>
          <w:p w14:paraId="7E8DC7F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（五）未按照规定安装 、使用税控装置 ，或者损毁或者擅自改动税控装置的。</w:t>
            </w:r>
          </w:p>
        </w:tc>
        <w:tc>
          <w:tcPr>
            <w:tcW w:w="2017" w:type="dxa"/>
            <w:noWrap w:val="0"/>
            <w:vAlign w:val="center"/>
          </w:tcPr>
          <w:p w14:paraId="2858E25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3253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5C7BE8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noWrap w:val="0"/>
            <w:vAlign w:val="center"/>
          </w:tcPr>
          <w:p w14:paraId="009E7DB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扣缴义务人未按照规定设置、保管代扣代缴、代收代缴税款账簿或者保管代扣代缴、代收代缴税款记账凭证及有关资料</w:t>
            </w:r>
          </w:p>
        </w:tc>
        <w:tc>
          <w:tcPr>
            <w:tcW w:w="2693" w:type="dxa"/>
            <w:noWrap w:val="0"/>
            <w:vAlign w:val="center"/>
          </w:tcPr>
          <w:p w14:paraId="1E003C3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56724EB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税收征收管理法》第六十一条扣缴义务人未按照规定设置、保管代扣代缴、代收代缴税款账簿或者保管代扣代缴、代收代缴税款记账凭证及有关资料的，由税务机关责令限期改正，可以处二千元以下的罚款；情节严重的，处二千元以上五千元以下的罚款 。</w:t>
            </w:r>
          </w:p>
        </w:tc>
        <w:tc>
          <w:tcPr>
            <w:tcW w:w="2017" w:type="dxa"/>
            <w:noWrap w:val="0"/>
            <w:vAlign w:val="center"/>
          </w:tcPr>
          <w:p w14:paraId="4D54DA8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5488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69F519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10</w:t>
            </w:r>
          </w:p>
        </w:tc>
        <w:tc>
          <w:tcPr>
            <w:tcW w:w="3112" w:type="dxa"/>
            <w:noWrap w:val="0"/>
            <w:vAlign w:val="center"/>
          </w:tcPr>
          <w:p w14:paraId="088D294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纳税人未按照规定的期限办理纳税申报和报送纳税资料的，或者扣缴义务人未按照规定的期限向税务机关报送代扣代缴、代收代缴税款报</w:t>
            </w:r>
          </w:p>
          <w:p w14:paraId="467AE02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告表和有关资料</w:t>
            </w:r>
          </w:p>
        </w:tc>
        <w:tc>
          <w:tcPr>
            <w:tcW w:w="2693" w:type="dxa"/>
            <w:noWrap w:val="0"/>
            <w:vAlign w:val="center"/>
          </w:tcPr>
          <w:p w14:paraId="2BD395D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一年内首次违反且危害后果轻微，当前税务登记状态为正常，在税务机关发现前主动改正或者在税务机关责令限期改正期限内改正的</w:t>
            </w:r>
          </w:p>
        </w:tc>
        <w:tc>
          <w:tcPr>
            <w:tcW w:w="5812" w:type="dxa"/>
            <w:noWrap w:val="0"/>
            <w:vAlign w:val="center"/>
          </w:tcPr>
          <w:p w14:paraId="10464E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税收征收管理法》第六十二条纳税人未按照规定的期限办理纳税申报和报送纳税资料的，或者扣缴义务人未按照规定的期限向税务机关报送代扣代缴、代收代缴税款报告表和有关资料的，由税务机关责令限期改正，可以处二千元以下的罚款；情节严重的，可以处二千元以上一万元以下的罚款 。</w:t>
            </w:r>
          </w:p>
        </w:tc>
        <w:tc>
          <w:tcPr>
            <w:tcW w:w="2017" w:type="dxa"/>
            <w:noWrap w:val="0"/>
            <w:vAlign w:val="center"/>
          </w:tcPr>
          <w:p w14:paraId="2A41F57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6035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AA1FE9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11</w:t>
            </w:r>
          </w:p>
        </w:tc>
        <w:tc>
          <w:tcPr>
            <w:tcW w:w="3112" w:type="dxa"/>
            <w:noWrap w:val="0"/>
            <w:vAlign w:val="center"/>
          </w:tcPr>
          <w:p w14:paraId="4A615A6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应当开具而未开具发票或者未按照规定的时限、顺序、栏目，全部联次一次性开具发票</w:t>
            </w:r>
          </w:p>
        </w:tc>
        <w:tc>
          <w:tcPr>
            <w:tcW w:w="2693" w:type="dxa"/>
            <w:noWrap w:val="0"/>
            <w:vAlign w:val="center"/>
          </w:tcPr>
          <w:p w14:paraId="64161A8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3B96884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《中华人民共和国发票管理办法》第三十三条第一项  违反本办法的规定，有下列情形之一的，由税务机关责令改正，可以处1万元以下的罚款；有违法所得的予以没收：</w:t>
            </w:r>
          </w:p>
          <w:p w14:paraId="17A65F3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（一）应当开具而未开具发票，或者未按照规定的时限、顺序、栏目，全部联次一次性开具发票，或者未加盖发票专用章的。</w:t>
            </w:r>
          </w:p>
        </w:tc>
        <w:tc>
          <w:tcPr>
            <w:tcW w:w="2017" w:type="dxa"/>
            <w:noWrap w:val="0"/>
            <w:vAlign w:val="center"/>
          </w:tcPr>
          <w:p w14:paraId="14762C8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7465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A71633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12</w:t>
            </w:r>
          </w:p>
          <w:p w14:paraId="71967202">
            <w:pPr>
              <w:widowControl/>
              <w:spacing w:line="320" w:lineRule="exact"/>
              <w:ind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6EDE7E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未加盖发票专用章</w:t>
            </w:r>
          </w:p>
        </w:tc>
        <w:tc>
          <w:tcPr>
            <w:tcW w:w="2693" w:type="dxa"/>
            <w:noWrap w:val="0"/>
            <w:vAlign w:val="center"/>
          </w:tcPr>
          <w:p w14:paraId="0EE072E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一年内首次违反且危害后果轻微，在税务机关发现前主动改正或者在税务机关责令限期改正期限内改正的，且没有违法所得</w:t>
            </w:r>
          </w:p>
        </w:tc>
        <w:tc>
          <w:tcPr>
            <w:tcW w:w="5812" w:type="dxa"/>
            <w:noWrap w:val="0"/>
            <w:vAlign w:val="center"/>
          </w:tcPr>
          <w:p w14:paraId="6B730A7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《中华人民共和国发票管理办法》第三十三条第一项</w:t>
            </w:r>
          </w:p>
          <w:p w14:paraId="21012B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违反本办法的规定，有下列情形之一的，由税务机关责令改正，可以处1万元以下的罚款；有违法所得的予以没收：</w:t>
            </w:r>
          </w:p>
          <w:p w14:paraId="56CD1F0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（一）应当开具而未开具发票，或者未按照规定的时限、顺序、栏目，全部联次一次性开具发票，或者未加盖发票专用章的 。</w:t>
            </w:r>
          </w:p>
        </w:tc>
        <w:tc>
          <w:tcPr>
            <w:tcW w:w="2017" w:type="dxa"/>
            <w:noWrap w:val="0"/>
            <w:vAlign w:val="center"/>
          </w:tcPr>
          <w:p w14:paraId="21FB841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2065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A89ED6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13</w:t>
            </w:r>
          </w:p>
        </w:tc>
        <w:tc>
          <w:tcPr>
            <w:tcW w:w="3112" w:type="dxa"/>
            <w:noWrap w:val="0"/>
            <w:vAlign w:val="center"/>
          </w:tcPr>
          <w:p w14:paraId="0481531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使用税控装置开具发票，未按期向主管税务机关报送开具发票的数据的</w:t>
            </w:r>
          </w:p>
        </w:tc>
        <w:tc>
          <w:tcPr>
            <w:tcW w:w="2693" w:type="dxa"/>
            <w:noWrap w:val="0"/>
            <w:vAlign w:val="center"/>
          </w:tcPr>
          <w:p w14:paraId="5FD459A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一年内首次违反且危害后果轻微，在税务机关发现前主动改正或者在税务机关责令限期改正期限内改正的，且没有违法所得</w:t>
            </w:r>
          </w:p>
        </w:tc>
        <w:tc>
          <w:tcPr>
            <w:tcW w:w="5812" w:type="dxa"/>
            <w:noWrap w:val="0"/>
            <w:vAlign w:val="center"/>
          </w:tcPr>
          <w:p w14:paraId="277248E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《中华人民共和国发票管理办法》第三十三条第二项违反本办法的规定，有下列情形之一的，由税务机关责令改正，可以处1万元以下的罚款；有违法所得的予以没收 ：</w:t>
            </w:r>
          </w:p>
          <w:p w14:paraId="73081AB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（二）使用税控装置开具发票，未按期向主管税务机关报送开具发票的数据的。</w:t>
            </w:r>
          </w:p>
        </w:tc>
        <w:tc>
          <w:tcPr>
            <w:tcW w:w="2017" w:type="dxa"/>
            <w:noWrap w:val="0"/>
            <w:vAlign w:val="center"/>
          </w:tcPr>
          <w:p w14:paraId="67DB30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665A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B1F05C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14</w:t>
            </w:r>
          </w:p>
        </w:tc>
        <w:tc>
          <w:tcPr>
            <w:tcW w:w="3112" w:type="dxa"/>
            <w:noWrap w:val="0"/>
            <w:vAlign w:val="center"/>
          </w:tcPr>
          <w:p w14:paraId="2C35C65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使用非税控电子器具开具发票，未将非税控电子器具使用的软件程序说明资料报主管税务机关备案的</w:t>
            </w:r>
          </w:p>
        </w:tc>
        <w:tc>
          <w:tcPr>
            <w:tcW w:w="2693" w:type="dxa"/>
            <w:noWrap w:val="0"/>
            <w:vAlign w:val="center"/>
          </w:tcPr>
          <w:p w14:paraId="57BF2B7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一年内首次违反且危害后果轻微，在税务机关发现前主动改正或者在税务机关责令限期改正期限内改正的，且没有违法所得</w:t>
            </w:r>
          </w:p>
        </w:tc>
        <w:tc>
          <w:tcPr>
            <w:tcW w:w="5812" w:type="dxa"/>
            <w:noWrap w:val="0"/>
            <w:vAlign w:val="center"/>
          </w:tcPr>
          <w:p w14:paraId="13DA6AD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《中华人民共和国发票管理办法》第三十三条第三项  违反本办法的规定，有下列情形之一的，由税务机关责令改正，可以处1万元以下的罚款；有违法所得的予以没收：</w:t>
            </w:r>
          </w:p>
          <w:p w14:paraId="36D67DF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（三）使用非税控电子器具开具发票，未将非税控电子器具使用的软件程序说明资料报主管税务机关备案，或者未按照规定保存、报送开具发票的数据的。</w:t>
            </w:r>
          </w:p>
        </w:tc>
        <w:tc>
          <w:tcPr>
            <w:tcW w:w="2017" w:type="dxa"/>
            <w:noWrap w:val="0"/>
            <w:vAlign w:val="center"/>
          </w:tcPr>
          <w:p w14:paraId="7011B65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4764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903DBF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15</w:t>
            </w:r>
          </w:p>
        </w:tc>
        <w:tc>
          <w:tcPr>
            <w:tcW w:w="3112" w:type="dxa"/>
            <w:noWrap w:val="0"/>
            <w:vAlign w:val="center"/>
          </w:tcPr>
          <w:p w14:paraId="75FB571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使用非税控电子器具开具发票，未按照规定保存、报送开具发票的数据的</w:t>
            </w:r>
          </w:p>
        </w:tc>
        <w:tc>
          <w:tcPr>
            <w:tcW w:w="2693" w:type="dxa"/>
            <w:noWrap w:val="0"/>
            <w:vAlign w:val="center"/>
          </w:tcPr>
          <w:p w14:paraId="558803B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一年内首次违反且危害后果轻微，在税务机关发现前主动改正或者在税务机关责令限期改正期限内改正的，且没有违法所得</w:t>
            </w:r>
          </w:p>
        </w:tc>
        <w:tc>
          <w:tcPr>
            <w:tcW w:w="5812" w:type="dxa"/>
            <w:noWrap w:val="0"/>
            <w:vAlign w:val="center"/>
          </w:tcPr>
          <w:p w14:paraId="085E9C4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《中华人民共和国发票管理办法》第三十三条第三项违反本办法的规定，有下列情形之一的，由税务机关责令改正 ，可以处1万元以下的罚款；有违法所得的予以没收：</w:t>
            </w:r>
          </w:p>
          <w:p w14:paraId="05C5B2A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（三）使用非税控电子器具开具发票，未将非税控电子器具使用的软件程序说明资料报主管税务机关备案，或者未按照规定保存、报送开具发票的数据的。</w:t>
            </w:r>
          </w:p>
        </w:tc>
        <w:tc>
          <w:tcPr>
            <w:tcW w:w="2017" w:type="dxa"/>
            <w:noWrap w:val="0"/>
            <w:vAlign w:val="center"/>
          </w:tcPr>
          <w:p w14:paraId="3BCBADC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7EFA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DEA55C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16</w:t>
            </w:r>
          </w:p>
          <w:p w14:paraId="25BF0984">
            <w:pPr>
              <w:widowControl/>
              <w:spacing w:line="320" w:lineRule="exact"/>
              <w:ind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44A0072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以其他凭证代替发票使用</w:t>
            </w:r>
          </w:p>
        </w:tc>
        <w:tc>
          <w:tcPr>
            <w:tcW w:w="2693" w:type="dxa"/>
            <w:noWrap w:val="0"/>
            <w:vAlign w:val="center"/>
          </w:tcPr>
          <w:p w14:paraId="1A301DC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一年内首次违反且危害后果轻微，在税务机关发现前主动改正或者在税务机关责令限期改正期限内改正的，且没有违法所得</w:t>
            </w:r>
          </w:p>
        </w:tc>
        <w:tc>
          <w:tcPr>
            <w:tcW w:w="5812" w:type="dxa"/>
            <w:noWrap w:val="0"/>
            <w:vAlign w:val="center"/>
          </w:tcPr>
          <w:p w14:paraId="68AE83D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《中华人民共和国发票管理办法》第三十三条第六项 违反本办法的规定，有下列情形之一的，由税务机关责令改正，可以处1万元以下的罚款；有违法所得的予以没收 ：</w:t>
            </w:r>
          </w:p>
          <w:p w14:paraId="1E5B557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（六）以其他凭证代替发票使用的 。</w:t>
            </w:r>
          </w:p>
          <w:p w14:paraId="3819E85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《中华人民共和国发票管理办法实施细则》第四十条     《办法》第三十三条第六项规定以其他凭证代替发票使用的，包括：（一）应当开具发票而未开具发票，以其他凭证代替发票使用；（二）应当取得发票而未取得发票，以发票外的其他凭证或者自制凭证用于抵扣税款、出口退税、税前扣除和财务报销；（三）取得不符合规定的发票，用于抵扣税款、出口退税、税前扣除和财务报销。构成逃避缴纳税款、骗取出口退税、虚开发票的，按照《中华人民共和国税收征收管理法》《办法》相关规定执行 。</w:t>
            </w:r>
          </w:p>
        </w:tc>
        <w:tc>
          <w:tcPr>
            <w:tcW w:w="2017" w:type="dxa"/>
            <w:noWrap w:val="0"/>
            <w:vAlign w:val="center"/>
          </w:tcPr>
          <w:p w14:paraId="573D80D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2E6B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1E51F5F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17</w:t>
            </w:r>
          </w:p>
        </w:tc>
        <w:tc>
          <w:tcPr>
            <w:tcW w:w="3112" w:type="dxa"/>
            <w:noWrap w:val="0"/>
            <w:vAlign w:val="center"/>
          </w:tcPr>
          <w:p w14:paraId="57233E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未按照规定缴销发票</w:t>
            </w:r>
          </w:p>
        </w:tc>
        <w:tc>
          <w:tcPr>
            <w:tcW w:w="2693" w:type="dxa"/>
            <w:noWrap w:val="0"/>
            <w:vAlign w:val="center"/>
          </w:tcPr>
          <w:p w14:paraId="4301FA8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一年内首次违反且危害后果轻微，在税务机关发现前主动改正或者在税务机关责令限期改正期限内改正的，且没有违法所得</w:t>
            </w:r>
          </w:p>
        </w:tc>
        <w:tc>
          <w:tcPr>
            <w:tcW w:w="5812" w:type="dxa"/>
            <w:noWrap w:val="0"/>
            <w:vAlign w:val="center"/>
          </w:tcPr>
          <w:p w14:paraId="1D85BDD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《中华人民共和国发票管理办法》第三十三条第八项违反本办法的规定，有下列情形之一的，由税务机关责令改正 ，可以处1万元以下的罚款；有违法所得的予以没收：</w:t>
            </w:r>
          </w:p>
          <w:p w14:paraId="595AEA9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（八）未按照规定缴销发票的 。</w:t>
            </w:r>
          </w:p>
        </w:tc>
        <w:tc>
          <w:tcPr>
            <w:tcW w:w="2017" w:type="dxa"/>
            <w:noWrap w:val="0"/>
            <w:vAlign w:val="center"/>
          </w:tcPr>
          <w:p w14:paraId="0D2037F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0CD9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371DB7E">
            <w:pPr>
              <w:widowControl/>
              <w:numPr>
                <w:ilvl w:val="0"/>
                <w:numId w:val="0"/>
              </w:numPr>
              <w:spacing w:line="320" w:lineRule="exact"/>
              <w:ind w:leftChars="0"/>
              <w:jc w:val="left"/>
              <w:textAlignment w:val="center"/>
              <w:rPr>
                <w:rFonts w:hint="eastAsia" w:asciiTheme="minorEastAsia" w:hAnsiTheme="minorEastAsia" w:eastAsiaTheme="minorEastAsia" w:cstheme="minorEastAsia"/>
                <w:spacing w:val="-2"/>
                <w:kern w:val="0"/>
                <w:sz w:val="22"/>
                <w:szCs w:val="20"/>
                <w:lang w:val="en-US" w:eastAsia="zh-CN"/>
              </w:rPr>
            </w:pPr>
          </w:p>
          <w:p w14:paraId="6EC45D44">
            <w:pPr>
              <w:widowControl/>
              <w:numPr>
                <w:ilvl w:val="0"/>
                <w:numId w:val="0"/>
              </w:numPr>
              <w:spacing w:line="320" w:lineRule="exact"/>
              <w:ind w:leftChars="0"/>
              <w:jc w:val="left"/>
              <w:textAlignment w:val="center"/>
              <w:rPr>
                <w:rFonts w:hint="eastAsia" w:asciiTheme="minorEastAsia" w:hAnsiTheme="minorEastAsia" w:eastAsiaTheme="minorEastAsia" w:cstheme="minorEastAsia"/>
                <w:spacing w:val="-2"/>
                <w:kern w:val="0"/>
                <w:sz w:val="22"/>
                <w:szCs w:val="20"/>
                <w:lang w:val="en-US" w:eastAsia="zh-CN"/>
              </w:rPr>
            </w:pPr>
          </w:p>
          <w:p w14:paraId="21ECD01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18</w:t>
            </w:r>
          </w:p>
        </w:tc>
        <w:tc>
          <w:tcPr>
            <w:tcW w:w="3112" w:type="dxa"/>
            <w:noWrap w:val="0"/>
            <w:vAlign w:val="center"/>
          </w:tcPr>
          <w:p w14:paraId="7DB686A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未按照规定存放和保管发票</w:t>
            </w:r>
          </w:p>
        </w:tc>
        <w:tc>
          <w:tcPr>
            <w:tcW w:w="2693" w:type="dxa"/>
            <w:noWrap w:val="0"/>
            <w:vAlign w:val="center"/>
          </w:tcPr>
          <w:p w14:paraId="7858E37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一年内首次违反且危害后果轻微，已尽到应有保管义务</w:t>
            </w:r>
          </w:p>
        </w:tc>
        <w:tc>
          <w:tcPr>
            <w:tcW w:w="5812" w:type="dxa"/>
            <w:noWrap w:val="0"/>
            <w:vAlign w:val="center"/>
          </w:tcPr>
          <w:p w14:paraId="46FA6B3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《中华人民共和国发票管理办》第三十三条第九项 违反本办法的规定，有下列情形之一的，由税务机关责令改正，可以处1万元以下的罚款；有违法所得的予以没收：</w:t>
            </w:r>
          </w:p>
          <w:p w14:paraId="663C741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（九）未按照规定存放和保管发票的 。</w:t>
            </w:r>
          </w:p>
        </w:tc>
        <w:tc>
          <w:tcPr>
            <w:tcW w:w="2017" w:type="dxa"/>
            <w:noWrap w:val="0"/>
            <w:vAlign w:val="center"/>
          </w:tcPr>
          <w:p w14:paraId="75E2FDE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4780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EE9F6C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19</w:t>
            </w:r>
          </w:p>
        </w:tc>
        <w:tc>
          <w:tcPr>
            <w:tcW w:w="3112" w:type="dxa"/>
            <w:noWrap w:val="0"/>
            <w:vAlign w:val="center"/>
          </w:tcPr>
          <w:p w14:paraId="5F8B45C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跨规定的使用区域携带、邮寄、运输空白发票，以及携带、邮寄或者运输空白发票出入境</w:t>
            </w:r>
          </w:p>
        </w:tc>
        <w:tc>
          <w:tcPr>
            <w:tcW w:w="2693" w:type="dxa"/>
            <w:noWrap w:val="0"/>
            <w:vAlign w:val="center"/>
          </w:tcPr>
          <w:p w14:paraId="73D8DDB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5B6DB92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《中华人民共和国发票管理办法》第三十四条第一款跨规定的使用区域携带、邮寄、运输空白发票，以及携带、邮寄或者运输空白发票出入境的，由税务机关责令改正，可以处 1万元以下的罚款；情节严重的，处1万元以上3万元以下的罚款；有违法所得的予以没收 。</w:t>
            </w:r>
          </w:p>
        </w:tc>
        <w:tc>
          <w:tcPr>
            <w:tcW w:w="2017" w:type="dxa"/>
            <w:noWrap w:val="0"/>
            <w:vAlign w:val="center"/>
          </w:tcPr>
          <w:p w14:paraId="5903EFE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46F2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8BD7B5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20</w:t>
            </w:r>
          </w:p>
        </w:tc>
        <w:tc>
          <w:tcPr>
            <w:tcW w:w="3112" w:type="dxa"/>
            <w:noWrap w:val="0"/>
            <w:vAlign w:val="center"/>
          </w:tcPr>
          <w:p w14:paraId="361FC11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丢失发票或擅自损毁发票</w:t>
            </w:r>
          </w:p>
        </w:tc>
        <w:tc>
          <w:tcPr>
            <w:tcW w:w="2693" w:type="dxa"/>
            <w:noWrap w:val="0"/>
            <w:vAlign w:val="center"/>
          </w:tcPr>
          <w:p w14:paraId="3603D75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当事人有证据足以证明没有主观过错造成丢失发票的</w:t>
            </w:r>
          </w:p>
        </w:tc>
        <w:tc>
          <w:tcPr>
            <w:tcW w:w="5812" w:type="dxa"/>
            <w:noWrap w:val="0"/>
            <w:vAlign w:val="center"/>
          </w:tcPr>
          <w:p w14:paraId="54C834F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《中华人民共和国发票管理办法》第三十四条第二款 跨规定的使用区域携带、邮寄、运输空白发票，以及携带、邮寄或者运输空白发票出入境的，由税务机关责令改正，可以处 1万元以下的罚款；情节严重的，处1万元以上3万元以下的罚款；有违法所得的予以没收 。</w:t>
            </w:r>
          </w:p>
          <w:p w14:paraId="792373F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丢失发票或者擅自损毁发票的，依照前款规定处罚 。</w:t>
            </w:r>
          </w:p>
        </w:tc>
        <w:tc>
          <w:tcPr>
            <w:tcW w:w="2017" w:type="dxa"/>
            <w:noWrap w:val="0"/>
            <w:vAlign w:val="center"/>
          </w:tcPr>
          <w:p w14:paraId="3CA7776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4F38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27853D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21</w:t>
            </w:r>
          </w:p>
        </w:tc>
        <w:tc>
          <w:tcPr>
            <w:tcW w:w="3112" w:type="dxa"/>
            <w:noWrap w:val="0"/>
            <w:vAlign w:val="center"/>
          </w:tcPr>
          <w:p w14:paraId="727CBBD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扣缴义务人未按照规定开具税收票证</w:t>
            </w:r>
          </w:p>
        </w:tc>
        <w:tc>
          <w:tcPr>
            <w:tcW w:w="2693" w:type="dxa"/>
            <w:noWrap w:val="0"/>
            <w:vAlign w:val="center"/>
          </w:tcPr>
          <w:p w14:paraId="7B8CD79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3D65045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《税收票证管理办法》（国家税务总局令第 28号公布，第48号修改）第五十四条第二款  扣缴义务人未按照本办法开具税收票证的，可以根据情节轻重，处以一千元以下的罚款 。</w:t>
            </w:r>
          </w:p>
        </w:tc>
        <w:tc>
          <w:tcPr>
            <w:tcW w:w="2017" w:type="dxa"/>
            <w:noWrap w:val="0"/>
            <w:vAlign w:val="center"/>
          </w:tcPr>
          <w:p w14:paraId="62F5DA6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6DD5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81FF1F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22</w:t>
            </w:r>
          </w:p>
        </w:tc>
        <w:tc>
          <w:tcPr>
            <w:tcW w:w="3112" w:type="dxa"/>
            <w:noWrap w:val="0"/>
            <w:vAlign w:val="center"/>
          </w:tcPr>
          <w:p w14:paraId="2ED0BAF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自行填开税收票证的纳税人未按照规定开具税收票证</w:t>
            </w:r>
          </w:p>
        </w:tc>
        <w:tc>
          <w:tcPr>
            <w:tcW w:w="2693" w:type="dxa"/>
            <w:noWrap w:val="0"/>
            <w:vAlign w:val="center"/>
          </w:tcPr>
          <w:p w14:paraId="44C9EC8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一年内首次违反且危害后果轻微，在税务机关发现前主动改正或者在税务机关责令限期改正期限内改正的</w:t>
            </w:r>
          </w:p>
        </w:tc>
        <w:tc>
          <w:tcPr>
            <w:tcW w:w="5812" w:type="dxa"/>
            <w:noWrap w:val="0"/>
            <w:vAlign w:val="center"/>
          </w:tcPr>
          <w:p w14:paraId="4406572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《税收票证管理办法》（国家税务总局令第 28号公布，第48号修改）第五十六条  自行填开税收票证的纳税人违反本办法及相关规定的，税务机关应当停止其税收票证的领用和自行填开，并限期缴销全部税收票证；情节严重的，可以处以一千元以下的罚款 。</w:t>
            </w:r>
          </w:p>
        </w:tc>
        <w:tc>
          <w:tcPr>
            <w:tcW w:w="2017" w:type="dxa"/>
            <w:noWrap w:val="0"/>
            <w:vAlign w:val="center"/>
          </w:tcPr>
          <w:p w14:paraId="7B741E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县税务机关、税务所</w:t>
            </w:r>
          </w:p>
        </w:tc>
      </w:tr>
      <w:tr w14:paraId="7BB7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60C918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0EEA794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危害气象设施</w:t>
            </w:r>
          </w:p>
        </w:tc>
        <w:tc>
          <w:tcPr>
            <w:tcW w:w="2693" w:type="dxa"/>
            <w:noWrap w:val="0"/>
            <w:vAlign w:val="center"/>
          </w:tcPr>
          <w:p w14:paraId="4962BF5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主动改正违法行为，限期内恢复原状或者采取其他补救措施，未对气象业务造成影响(未造成观测数据中断), 且属于首次违法</w:t>
            </w:r>
          </w:p>
        </w:tc>
        <w:tc>
          <w:tcPr>
            <w:tcW w:w="5812" w:type="dxa"/>
            <w:noWrap w:val="0"/>
            <w:vAlign w:val="center"/>
          </w:tcPr>
          <w:p w14:paraId="0301BF3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1.《中华人民共和国气象法》第三十五条第一款第一项：</w:t>
            </w:r>
          </w:p>
          <w:p w14:paraId="2B29695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法规定，有下列行为之一的，由有关气象主管机构按照权限责令停止违法行为，限期恢复原状或者采取其他补救措施，可以并处五万元以下的罚款；造成损失的，依法承担赔偿责任；构成犯罪的，依法追究刑事责任：</w:t>
            </w:r>
          </w:p>
          <w:p w14:paraId="36F4760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（一）侵占、损毁或者未经批准擅自移动气象设施的。</w:t>
            </w:r>
          </w:p>
          <w:p w14:paraId="4034347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2.《气象设施和气象探测环境保护条例》（国务院令第623号）第二十四条：</w:t>
            </w:r>
          </w:p>
          <w:p w14:paraId="499E13A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条例规定，危害气象设施的，由气象主管机构责令停止违法行为，限期恢复原状或者采取其他补救措施；逾期拒不恢复原状或者采取其他补救措施的，由气象主管机构依法申请人民法院强制执行，并对违法单位处1万元以上5万元以下罚款，对违法个人处100元以上1000元以下罚款；造成损害的，依法承担赔偿责任；构成违反治安管理行为的，由公安机关依法给予治安管理处罚；构成犯罪的，依法追究刑事责任。</w:t>
            </w:r>
          </w:p>
          <w:p w14:paraId="358821C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3.《气象灾害预警信号发布与传播办法》（中国气象局令第16号）第十三条：</w:t>
            </w:r>
          </w:p>
          <w:p w14:paraId="4B983C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违反本办法规定，侵占、损毁或者擅自移动预警信号专用传播设施的，由有关气象主管机构依照《中华人民共和国气象法》第三十五条的规定追究法律责任。</w:t>
            </w:r>
          </w:p>
        </w:tc>
        <w:tc>
          <w:tcPr>
            <w:tcW w:w="2017" w:type="dxa"/>
            <w:noWrap w:val="0"/>
            <w:vAlign w:val="center"/>
          </w:tcPr>
          <w:p w14:paraId="5BD3303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市、县气象主管机构</w:t>
            </w:r>
          </w:p>
        </w:tc>
      </w:tr>
      <w:tr w14:paraId="71B7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97AB83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5EC5F09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在气象探测环境保护范围内从事危害气象探测环境活动</w:t>
            </w:r>
          </w:p>
        </w:tc>
        <w:tc>
          <w:tcPr>
            <w:tcW w:w="2693" w:type="dxa"/>
            <w:noWrap w:val="0"/>
            <w:vAlign w:val="center"/>
          </w:tcPr>
          <w:p w14:paraId="588C725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主动改正违法行为，限期内恢复原状或者采取其他补救措施，未对气象探测环境造成危害, 且属于首次违法</w:t>
            </w:r>
          </w:p>
        </w:tc>
        <w:tc>
          <w:tcPr>
            <w:tcW w:w="5812" w:type="dxa"/>
            <w:noWrap w:val="0"/>
            <w:vAlign w:val="center"/>
          </w:tcPr>
          <w:p w14:paraId="0CE48EF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1.《中华人民共和国气象法》第三十五条第一款第二项：</w:t>
            </w:r>
          </w:p>
          <w:p w14:paraId="117B7F9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法规定，有下列行为之一的，由有关气象主管机构按照权限责令停止违法行为，限期恢复原状或者采取其他补救措施，可以并处五万元以下的罚款；造成损失的，依法承担赔偿责任；构成犯罪的，依法追究刑事责任：</w:t>
            </w:r>
          </w:p>
          <w:p w14:paraId="524D792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（二）在气象探测环境保护范围内从事危害气象探测环境活动的。</w:t>
            </w:r>
          </w:p>
          <w:p w14:paraId="139D5BB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2.《气象设施和气象探测环境保护条例》（国务院令第623号）第二十五条第一款：</w:t>
            </w:r>
          </w:p>
          <w:p w14:paraId="67B7EDE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条例规定，危害气象探测环境的，由气象主管机构责令停止违法行为，限期拆除或者恢复原状，情节严重的，对违法单位处2万元以上5万元以下罚款，对违法个人处200元以上5000元以下罚款；逾期拒不拆除或者恢复原状的，由气象主管机构依法申请人民法院强制执行；造成损害的，依法承担赔偿责任。</w:t>
            </w:r>
          </w:p>
          <w:p w14:paraId="45EEC50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3.《新建扩建改建建设工程避免危害气象探测环境行政许可管理办法》（中国气象局令第29号）第十四条：</w:t>
            </w:r>
          </w:p>
          <w:p w14:paraId="7FA35CD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取得新建、扩建、改建建设工程避免危害气象探测环境行政许可的，或者取得许可后不按规定进行建设，造成气象探测环境遭到破坏的，按照《气象法》第三十五条、《气象设施和气象探测环境保护条例》第二十五条予以处罚。</w:t>
            </w:r>
          </w:p>
        </w:tc>
        <w:tc>
          <w:tcPr>
            <w:tcW w:w="2017" w:type="dxa"/>
            <w:noWrap w:val="0"/>
            <w:vAlign w:val="center"/>
          </w:tcPr>
          <w:p w14:paraId="6A5AF8C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市、县气象主管机构</w:t>
            </w:r>
          </w:p>
        </w:tc>
      </w:tr>
      <w:tr w14:paraId="20A1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4702D8A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46B286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未按期提交年度报告或者提交的年度报告存在虚假内容</w:t>
            </w:r>
          </w:p>
        </w:tc>
        <w:tc>
          <w:tcPr>
            <w:tcW w:w="2693" w:type="dxa"/>
            <w:noWrap w:val="0"/>
            <w:vAlign w:val="center"/>
          </w:tcPr>
          <w:p w14:paraId="147814F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主动改正违法行为，且上一年度未出现事故</w:t>
            </w:r>
          </w:p>
        </w:tc>
        <w:tc>
          <w:tcPr>
            <w:tcW w:w="5812" w:type="dxa"/>
            <w:noWrap w:val="0"/>
            <w:vAlign w:val="center"/>
          </w:tcPr>
          <w:p w14:paraId="0746025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《升放气球管理办法》（中国气象局令第36号）第三十条第一项：</w:t>
            </w:r>
          </w:p>
          <w:p w14:paraId="2CA8D68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办法规定，有下列行为之一的，由县级以上气象主管机构按照权限责令改正，给予警告，可以处1万元以下罚款；情节严重的，处1万元以上3万元以下罚款；造成重大事故或者严重后果的，依照《安全生产法》有关规定处罚；构成犯罪的，依法追究刑事责任：</w:t>
            </w:r>
          </w:p>
          <w:p w14:paraId="018E2A0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 未按期提交年度报告或者提交的年度报告存在虚假内容的。</w:t>
            </w:r>
          </w:p>
        </w:tc>
        <w:tc>
          <w:tcPr>
            <w:tcW w:w="2017" w:type="dxa"/>
            <w:noWrap w:val="0"/>
            <w:vAlign w:val="center"/>
          </w:tcPr>
          <w:p w14:paraId="7FC2572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市、县气象主管机构</w:t>
            </w:r>
          </w:p>
        </w:tc>
      </w:tr>
      <w:tr w14:paraId="67AF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D56B00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2AAC5E4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违反升放气球技术规范和标准</w:t>
            </w:r>
          </w:p>
        </w:tc>
        <w:tc>
          <w:tcPr>
            <w:tcW w:w="2693" w:type="dxa"/>
            <w:noWrap w:val="0"/>
            <w:vAlign w:val="center"/>
          </w:tcPr>
          <w:p w14:paraId="2802324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主动改正违法行为，未出现事故</w:t>
            </w:r>
          </w:p>
        </w:tc>
        <w:tc>
          <w:tcPr>
            <w:tcW w:w="5812" w:type="dxa"/>
            <w:noWrap w:val="0"/>
            <w:vAlign w:val="center"/>
          </w:tcPr>
          <w:p w14:paraId="577A29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《升放气球管理办法》（中国气象局令第36号）第三十条第二项：</w:t>
            </w:r>
          </w:p>
          <w:p w14:paraId="1935E7E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办法规定，有下列行为之一的，由县级以上气象主管机构按照权限责令改正，给予警告，可以处1万元以下罚款；情节严重的，处1万元以上3万元以下罚款；造成重大事故或者严重后果的，依照《安全生产法》有关规定处罚；构成犯罪的，依法追究刑事责任：</w:t>
            </w:r>
          </w:p>
          <w:p w14:paraId="302A786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（二）违反升放气球技术规范和标准的。</w:t>
            </w:r>
          </w:p>
        </w:tc>
        <w:tc>
          <w:tcPr>
            <w:tcW w:w="2017" w:type="dxa"/>
            <w:noWrap w:val="0"/>
            <w:vAlign w:val="center"/>
          </w:tcPr>
          <w:p w14:paraId="729CDE4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市、县气象主管机构</w:t>
            </w:r>
          </w:p>
        </w:tc>
      </w:tr>
      <w:tr w14:paraId="6898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CD9761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5C411B3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未指定专人值守</w:t>
            </w:r>
          </w:p>
        </w:tc>
        <w:tc>
          <w:tcPr>
            <w:tcW w:w="2693" w:type="dxa"/>
            <w:noWrap w:val="0"/>
            <w:vAlign w:val="center"/>
          </w:tcPr>
          <w:p w14:paraId="0D16DA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主动改正违法行为，未出现事故,且为首次违法</w:t>
            </w:r>
          </w:p>
        </w:tc>
        <w:tc>
          <w:tcPr>
            <w:tcW w:w="5812" w:type="dxa"/>
            <w:noWrap w:val="0"/>
            <w:vAlign w:val="center"/>
          </w:tcPr>
          <w:p w14:paraId="721DA3A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《升放气球管理办法》（中国气象局令第36号）第三十条第三项：</w:t>
            </w:r>
          </w:p>
          <w:p w14:paraId="34F9946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办法规定，有下列行为之一的，由县级以上气象主管机构按照权限责令改正，给予警告，可以处1万元以下罚款；情节严重的，处1万元以上3万元以下罚款；造成重大事故或者严重后果的，依照《安全生产法》有关规定处罚；构成犯罪的，依法追究刑事责任：</w:t>
            </w:r>
          </w:p>
          <w:p w14:paraId="31EEFA2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（三）未指定专人值守的。</w:t>
            </w:r>
          </w:p>
        </w:tc>
        <w:tc>
          <w:tcPr>
            <w:tcW w:w="2017" w:type="dxa"/>
            <w:noWrap w:val="0"/>
            <w:vAlign w:val="center"/>
          </w:tcPr>
          <w:p w14:paraId="3006140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市、县气象主管机构</w:t>
            </w:r>
          </w:p>
        </w:tc>
      </w:tr>
      <w:tr w14:paraId="6566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9AE25F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5F6548A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利用气球开展各种活动的单位和个人使用无《升放气球资质证》的单位升放气球</w:t>
            </w:r>
          </w:p>
        </w:tc>
        <w:tc>
          <w:tcPr>
            <w:tcW w:w="2693" w:type="dxa"/>
            <w:noWrap w:val="0"/>
            <w:vAlign w:val="center"/>
          </w:tcPr>
          <w:p w14:paraId="1FB45C2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主动改正违法行为，未出现事故，且为首次违法</w:t>
            </w:r>
          </w:p>
        </w:tc>
        <w:tc>
          <w:tcPr>
            <w:tcW w:w="5812" w:type="dxa"/>
            <w:noWrap w:val="0"/>
            <w:vAlign w:val="center"/>
          </w:tcPr>
          <w:p w14:paraId="5C60855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《升放气球管理办法》（中国气象局令第36号）第三十条第五项：</w:t>
            </w:r>
          </w:p>
          <w:p w14:paraId="1EFA80F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办法规定，有下列行为之一的，由县级以上气象主管机构按照权限责令改正，给予警告，可以处1万元以下罚款；情节严重的，处1万元以上3万元以下罚款；造成重大事故或者严重后果的，依照《安全生产法》有关规定处罚；构成犯罪的，依法追究刑事责任：</w:t>
            </w:r>
          </w:p>
          <w:p w14:paraId="56636B8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（五）利用气球开展各种活动的单位和个人，使用无《升放气球资质证》的单位升放气球的。</w:t>
            </w:r>
          </w:p>
        </w:tc>
        <w:tc>
          <w:tcPr>
            <w:tcW w:w="2017" w:type="dxa"/>
            <w:noWrap w:val="0"/>
            <w:vAlign w:val="center"/>
          </w:tcPr>
          <w:p w14:paraId="0F7A0C8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市、县气象主管机构</w:t>
            </w:r>
          </w:p>
        </w:tc>
      </w:tr>
      <w:tr w14:paraId="465B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DEEB26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7AF9CE6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传播虚假气象预报</w:t>
            </w:r>
          </w:p>
        </w:tc>
        <w:tc>
          <w:tcPr>
            <w:tcW w:w="2693" w:type="dxa"/>
            <w:noWrap w:val="0"/>
            <w:vAlign w:val="center"/>
          </w:tcPr>
          <w:p w14:paraId="5CAD403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主动改正违法行为，未造成社会影响，且属于首次违法</w:t>
            </w:r>
          </w:p>
        </w:tc>
        <w:tc>
          <w:tcPr>
            <w:tcW w:w="5812" w:type="dxa"/>
            <w:noWrap w:val="0"/>
            <w:vAlign w:val="center"/>
          </w:tcPr>
          <w:p w14:paraId="2030644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1.《气象灾害防御条例》（国务院令第570号）第四十六条第三项：</w:t>
            </w:r>
          </w:p>
          <w:p w14:paraId="426D619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违反本条例规定，有下列行为之一的，由县级以上气象主管机构责令改正，给予警告，可以处5万元以下的罚款；构成违反治安管理行为的，由公安机关依法给予处罚：</w:t>
            </w:r>
          </w:p>
          <w:p w14:paraId="0EA18A2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（三）传播虚假的或者通过非法渠道获取的灾害性天气信息和气象灾害灾情的。</w:t>
            </w:r>
          </w:p>
          <w:p w14:paraId="58CA095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2.《气象预报发布与传播管理办法》（中国气象局令第26号）第十四条第一项：</w:t>
            </w:r>
          </w:p>
          <w:p w14:paraId="74FDDB0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违反本办法规定，有下列行为之一的，由有关气象主管机构按照权限责令改正，给予警告，可以并处3万元以下罚款；造成人员伤亡或重大财产损失，构成犯罪的，依法追究刑事责任。</w:t>
            </w:r>
          </w:p>
          <w:p w14:paraId="671BD9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（一）传播虚假气象预报的。</w:t>
            </w:r>
          </w:p>
          <w:p w14:paraId="78995A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《人工智能气象应用服务办法》（中国气象局、国家互联网信息办公室令第45号）第二十六条 违反本办法规定，有下列行为之一的，由有关气象主管机构、网信部门依据职责责令改正，给予警告，可以处五万元以下的罚款:</w:t>
            </w:r>
          </w:p>
          <w:p w14:paraId="4299C7D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（二）传播虚假的或者通过非法渠道获取的灾害性天气信息和气象灾害灾情的。</w:t>
            </w:r>
          </w:p>
        </w:tc>
        <w:tc>
          <w:tcPr>
            <w:tcW w:w="2017" w:type="dxa"/>
            <w:noWrap w:val="0"/>
            <w:vAlign w:val="center"/>
          </w:tcPr>
          <w:p w14:paraId="25571A7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市、县气象主管机构</w:t>
            </w:r>
          </w:p>
        </w:tc>
      </w:tr>
      <w:tr w14:paraId="69C4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D5B205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40BBE3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向社会传播气象预报不注明发布单位名称和发布时间</w:t>
            </w:r>
          </w:p>
        </w:tc>
        <w:tc>
          <w:tcPr>
            <w:tcW w:w="2693" w:type="dxa"/>
            <w:noWrap w:val="0"/>
            <w:vAlign w:val="center"/>
          </w:tcPr>
          <w:p w14:paraId="4DA2F19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主动改正违法行为，未造成社会影响，且属于首次违法</w:t>
            </w:r>
          </w:p>
        </w:tc>
        <w:tc>
          <w:tcPr>
            <w:tcW w:w="5812" w:type="dxa"/>
            <w:noWrap w:val="0"/>
            <w:vAlign w:val="center"/>
          </w:tcPr>
          <w:p w14:paraId="4BEAD94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《气象预报发布与传播管理办法》（中国气象局令第26号）第十四条第三项：</w:t>
            </w:r>
          </w:p>
          <w:p w14:paraId="735154C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违反本办法规定，有下列行为之一的，由有关气象主管机构按照权限责令改正，给予警告，可以并处3万元以下罚款；造成人员伤亡或重大财产损失，构成犯罪的，依法追究刑事责任。</w:t>
            </w:r>
          </w:p>
          <w:p w14:paraId="1A0CB8A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（三）向社会传播气象预报不注明发布单位名称和发布时间的。</w:t>
            </w:r>
          </w:p>
        </w:tc>
        <w:tc>
          <w:tcPr>
            <w:tcW w:w="2017" w:type="dxa"/>
            <w:noWrap w:val="0"/>
            <w:vAlign w:val="center"/>
          </w:tcPr>
          <w:p w14:paraId="6C0FE76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市、县气象主管机构</w:t>
            </w:r>
          </w:p>
        </w:tc>
      </w:tr>
      <w:tr w14:paraId="244B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0E7696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noWrap w:val="0"/>
            <w:vAlign w:val="center"/>
          </w:tcPr>
          <w:p w14:paraId="143A20C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广播、电视、报纸、电信等媒体未按照要求播发、刊登气象预报、灾害性天气警报和气象灾害预警信号</w:t>
            </w:r>
          </w:p>
        </w:tc>
        <w:tc>
          <w:tcPr>
            <w:tcW w:w="2693" w:type="dxa"/>
            <w:noWrap w:val="0"/>
            <w:vAlign w:val="center"/>
          </w:tcPr>
          <w:p w14:paraId="6E37C61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主动改正违法行为，未造成社会影响，且属于首次违法</w:t>
            </w:r>
          </w:p>
        </w:tc>
        <w:tc>
          <w:tcPr>
            <w:tcW w:w="5812" w:type="dxa"/>
            <w:noWrap w:val="0"/>
            <w:vAlign w:val="center"/>
          </w:tcPr>
          <w:p w14:paraId="0EE7425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《气象灾害防御条例》（国务院令第570号）第四十六条第二项：</w:t>
            </w:r>
          </w:p>
          <w:p w14:paraId="2064284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违反本条例规定，有下列行为之一的，由县级以上气象主管机构责令改正，给予警告，可以处5万元以下的罚款；构成违反治安管理行为的，由公安机关依法给予处罚：</w:t>
            </w:r>
          </w:p>
          <w:p w14:paraId="01A6E6C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（二）广播、电视、报纸、电信等媒体未按照要求播发、刊登灾害性天气警报和气象灾害预警信号的。</w:t>
            </w:r>
          </w:p>
        </w:tc>
        <w:tc>
          <w:tcPr>
            <w:tcW w:w="2017" w:type="dxa"/>
            <w:noWrap w:val="0"/>
            <w:vAlign w:val="center"/>
          </w:tcPr>
          <w:p w14:paraId="7B4D50F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市、县气象主管机构</w:t>
            </w:r>
          </w:p>
        </w:tc>
      </w:tr>
      <w:tr w14:paraId="20EC2D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 w:hRule="atLeast"/>
        </w:trPr>
        <w:tc>
          <w:tcPr>
            <w:tcW w:w="432" w:type="dxa"/>
            <w:tcBorders>
              <w:top w:val="single" w:color="auto" w:sz="4" w:space="0"/>
              <w:left w:val="single" w:color="auto" w:sz="4" w:space="0"/>
              <w:bottom w:val="single" w:color="auto" w:sz="4" w:space="0"/>
              <w:right w:val="single" w:color="auto" w:sz="4" w:space="0"/>
            </w:tcBorders>
            <w:vAlign w:val="center"/>
          </w:tcPr>
          <w:p w14:paraId="1DF08F9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tcBorders>
              <w:top w:val="single" w:color="auto" w:sz="4" w:space="0"/>
              <w:left w:val="single" w:color="auto" w:sz="4" w:space="0"/>
              <w:bottom w:val="single" w:color="auto" w:sz="4" w:space="0"/>
              <w:right w:val="single" w:color="auto" w:sz="4" w:space="0"/>
            </w:tcBorders>
            <w:vAlign w:val="center"/>
          </w:tcPr>
          <w:p w14:paraId="625C64C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无主观过错</w:t>
            </w:r>
          </w:p>
        </w:tc>
        <w:tc>
          <w:tcPr>
            <w:tcW w:w="2693" w:type="dxa"/>
            <w:tcBorders>
              <w:top w:val="single" w:color="auto" w:sz="4" w:space="0"/>
              <w:left w:val="single" w:color="auto" w:sz="4" w:space="0"/>
              <w:bottom w:val="single" w:color="auto" w:sz="4" w:space="0"/>
              <w:right w:val="single" w:color="auto" w:sz="4" w:space="0"/>
            </w:tcBorders>
            <w:vAlign w:val="center"/>
          </w:tcPr>
          <w:p w14:paraId="2E79101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当事人有证据足以证明没有主观过错的。法律、法规另有规定的，从其规定。</w:t>
            </w:r>
          </w:p>
        </w:tc>
        <w:tc>
          <w:tcPr>
            <w:tcW w:w="5812" w:type="dxa"/>
            <w:tcBorders>
              <w:top w:val="single" w:color="auto" w:sz="4" w:space="0"/>
              <w:left w:val="single" w:color="auto" w:sz="4" w:space="0"/>
              <w:bottom w:val="single" w:color="auto" w:sz="4" w:space="0"/>
              <w:right w:val="single" w:color="auto" w:sz="4" w:space="0"/>
            </w:tcBorders>
            <w:vAlign w:val="center"/>
          </w:tcPr>
          <w:p w14:paraId="6E98894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《行政处罚法》第三十三条第二款：当事人有证据足以证明没有主观过错的，不予行政处罚。法律、行政法规另有规定的，从其规定。</w:t>
            </w:r>
          </w:p>
        </w:tc>
        <w:tc>
          <w:tcPr>
            <w:tcW w:w="2017" w:type="dxa"/>
            <w:tcBorders>
              <w:top w:val="single" w:color="auto" w:sz="4" w:space="0"/>
              <w:left w:val="single" w:color="auto" w:sz="4" w:space="0"/>
              <w:bottom w:val="single" w:color="auto" w:sz="4" w:space="0"/>
              <w:right w:val="single" w:color="auto" w:sz="4" w:space="0"/>
            </w:tcBorders>
            <w:vAlign w:val="center"/>
          </w:tcPr>
          <w:p w14:paraId="64B12C0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苏州海关</w:t>
            </w:r>
          </w:p>
        </w:tc>
      </w:tr>
      <w:tr w14:paraId="6958C7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 w:hRule="atLeast"/>
        </w:trPr>
        <w:tc>
          <w:tcPr>
            <w:tcW w:w="432" w:type="dxa"/>
            <w:tcBorders>
              <w:top w:val="single" w:color="auto" w:sz="4" w:space="0"/>
              <w:left w:val="single" w:color="auto" w:sz="4" w:space="0"/>
              <w:bottom w:val="single" w:color="auto" w:sz="4" w:space="0"/>
              <w:right w:val="single" w:color="auto" w:sz="4" w:space="0"/>
            </w:tcBorders>
            <w:vAlign w:val="center"/>
          </w:tcPr>
          <w:p w14:paraId="0605EAC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tcBorders>
              <w:top w:val="single" w:color="auto" w:sz="4" w:space="0"/>
              <w:left w:val="single" w:color="auto" w:sz="4" w:space="0"/>
              <w:bottom w:val="single" w:color="auto" w:sz="4" w:space="0"/>
              <w:right w:val="single" w:color="auto" w:sz="4" w:space="0"/>
            </w:tcBorders>
            <w:vAlign w:val="center"/>
          </w:tcPr>
          <w:p w14:paraId="03EA1E9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二年内未被发现</w:t>
            </w:r>
          </w:p>
        </w:tc>
        <w:tc>
          <w:tcPr>
            <w:tcW w:w="2693" w:type="dxa"/>
            <w:tcBorders>
              <w:top w:val="single" w:color="auto" w:sz="4" w:space="0"/>
              <w:left w:val="single" w:color="auto" w:sz="4" w:space="0"/>
              <w:bottom w:val="single" w:color="auto" w:sz="4" w:space="0"/>
              <w:right w:val="single" w:color="auto" w:sz="4" w:space="0"/>
            </w:tcBorders>
            <w:vAlign w:val="center"/>
          </w:tcPr>
          <w:p w14:paraId="71D7D2E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违法行为在二年内未被发现；涉及公民生命健康安全、金融安全且有危害后果的，上述期限延长至五年。法律另有规定的除外。</w:t>
            </w:r>
          </w:p>
        </w:tc>
        <w:tc>
          <w:tcPr>
            <w:tcW w:w="5812" w:type="dxa"/>
            <w:tcBorders>
              <w:top w:val="single" w:color="auto" w:sz="4" w:space="0"/>
              <w:left w:val="single" w:color="auto" w:sz="4" w:space="0"/>
              <w:bottom w:val="single" w:color="auto" w:sz="4" w:space="0"/>
              <w:right w:val="single" w:color="auto" w:sz="4" w:space="0"/>
            </w:tcBorders>
            <w:vAlign w:val="center"/>
          </w:tcPr>
          <w:p w14:paraId="32D6280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《行政处罚法》第三十六条第一款：违法行为在二年内未被发现的，不再给予行政处罚；涉及公民生命健康安全、金融安全且有危害后果的，上述期限延长至五年。法律另有规定的除外。</w:t>
            </w:r>
          </w:p>
        </w:tc>
        <w:tc>
          <w:tcPr>
            <w:tcW w:w="2017" w:type="dxa"/>
            <w:tcBorders>
              <w:top w:val="single" w:color="auto" w:sz="4" w:space="0"/>
              <w:left w:val="single" w:color="auto" w:sz="4" w:space="0"/>
              <w:bottom w:val="single" w:color="auto" w:sz="4" w:space="0"/>
              <w:right w:val="single" w:color="auto" w:sz="4" w:space="0"/>
            </w:tcBorders>
            <w:vAlign w:val="center"/>
          </w:tcPr>
          <w:p w14:paraId="6A412E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苏州海关</w:t>
            </w:r>
          </w:p>
        </w:tc>
      </w:tr>
      <w:tr w14:paraId="11DA8F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89" w:hRule="atLeast"/>
        </w:trPr>
        <w:tc>
          <w:tcPr>
            <w:tcW w:w="432" w:type="dxa"/>
            <w:tcBorders>
              <w:top w:val="single" w:color="auto" w:sz="4" w:space="0"/>
              <w:left w:val="single" w:color="auto" w:sz="4" w:space="0"/>
              <w:bottom w:val="single" w:color="auto" w:sz="4" w:space="0"/>
              <w:right w:val="single" w:color="auto" w:sz="4" w:space="0"/>
            </w:tcBorders>
            <w:vAlign w:val="center"/>
          </w:tcPr>
          <w:p w14:paraId="577651C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tcBorders>
              <w:top w:val="single" w:color="auto" w:sz="4" w:space="0"/>
              <w:left w:val="single" w:color="auto" w:sz="4" w:space="0"/>
              <w:bottom w:val="single" w:color="auto" w:sz="4" w:space="0"/>
              <w:right w:val="single" w:color="auto" w:sz="4" w:space="0"/>
            </w:tcBorders>
            <w:vAlign w:val="center"/>
          </w:tcPr>
          <w:p w14:paraId="1296AE4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轻微违法，及时改正且没有造成危害后果</w:t>
            </w:r>
          </w:p>
        </w:tc>
        <w:tc>
          <w:tcPr>
            <w:tcW w:w="2693" w:type="dxa"/>
            <w:tcBorders>
              <w:top w:val="single" w:color="auto" w:sz="4" w:space="0"/>
              <w:left w:val="single" w:color="auto" w:sz="4" w:space="0"/>
              <w:bottom w:val="single" w:color="auto" w:sz="4" w:space="0"/>
              <w:right w:val="single" w:color="auto" w:sz="4" w:space="0"/>
            </w:tcBorders>
            <w:vAlign w:val="center"/>
          </w:tcPr>
          <w:p w14:paraId="6BCE415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进出口国家限制进出口的货物，向海关申报时不能提交许可证件，违法货物价值5万元以下。</w:t>
            </w:r>
          </w:p>
          <w:p w14:paraId="57260B4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应当向海关申报的项目未申报或申报不实，影响海关统计或者单项统计准确性，违法货物价值20万元以下或者当事人主动供述海关尚未掌握的该项违法行为。</w:t>
            </w:r>
          </w:p>
          <w:p w14:paraId="2C62682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应当向海关申报的项目未申报或申报不实，影响海关监管秩序，违法货物价值5万元以下或者主动供述海关尚未掌握的该项违法行为。</w:t>
            </w:r>
          </w:p>
          <w:p w14:paraId="24150E0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应当向海关申报的项目未申报或申报不实，影响国家许可证件管理，违法货物价值3万元以下。</w:t>
            </w:r>
          </w:p>
          <w:p w14:paraId="401E5A2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应当向海关申报的项目未申报或申报不实，影响国家税款征收，漏缴税款5000元以下。</w:t>
            </w:r>
          </w:p>
          <w:p w14:paraId="3F83FE8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应当向海关申报的项目未申报或申报不实，影响国家出口退税管理，可能多退税款5000元以下。</w:t>
            </w:r>
          </w:p>
          <w:p w14:paraId="2C56930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在海关监管年限内，未经海关同意，减免税申请人将减免税设备退运出境或者出口。</w:t>
            </w:r>
          </w:p>
          <w:p w14:paraId="4CE5C59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未按规定经海关备案，同一海关特殊监管区域内的海关监管货物在区内企业之间转让、转移。</w:t>
            </w:r>
          </w:p>
          <w:p w14:paraId="058482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过境、暂时进出境货物超过规定期限未复运出境或者进境，在规定期限届满之日起两个月内补办相关手续的。</w:t>
            </w:r>
          </w:p>
          <w:p w14:paraId="08C063E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依据《海关行政处罚实施条例》第十八条第一款规定处理的其他违反海关监管规定的行为，当事人主动供述海关尚未掌握的该项违法行为且没有影响国家有关进出境的禁止性或限制性管理、税款征收、外汇、出口退税管理等。</w:t>
            </w:r>
          </w:p>
          <w:p w14:paraId="271CA7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遗失海关制发的监管单证、手册等凭证，当事人主动供述海关尚未掌握的该项违法行为。</w:t>
            </w:r>
          </w:p>
        </w:tc>
        <w:tc>
          <w:tcPr>
            <w:tcW w:w="5812" w:type="dxa"/>
            <w:tcBorders>
              <w:top w:val="single" w:color="auto" w:sz="4" w:space="0"/>
              <w:left w:val="single" w:color="auto" w:sz="4" w:space="0"/>
              <w:bottom w:val="single" w:color="auto" w:sz="4" w:space="0"/>
              <w:right w:val="single" w:color="auto" w:sz="4" w:space="0"/>
            </w:tcBorders>
            <w:vAlign w:val="center"/>
          </w:tcPr>
          <w:p w14:paraId="6A262BF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《行政处罚法》第三十三条第一款：违法行为轻微并及时改正，没有造成危害后果的，不予行政处罚。</w:t>
            </w:r>
          </w:p>
        </w:tc>
        <w:tc>
          <w:tcPr>
            <w:tcW w:w="2017" w:type="dxa"/>
            <w:tcBorders>
              <w:top w:val="single" w:color="auto" w:sz="4" w:space="0"/>
              <w:left w:val="single" w:color="auto" w:sz="4" w:space="0"/>
              <w:bottom w:val="single" w:color="auto" w:sz="4" w:space="0"/>
              <w:right w:val="single" w:color="auto" w:sz="4" w:space="0"/>
            </w:tcBorders>
            <w:vAlign w:val="center"/>
          </w:tcPr>
          <w:p w14:paraId="09F49C0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苏州海关</w:t>
            </w:r>
          </w:p>
        </w:tc>
      </w:tr>
      <w:tr w14:paraId="4C4BC0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89" w:hRule="atLeast"/>
        </w:trPr>
        <w:tc>
          <w:tcPr>
            <w:tcW w:w="432" w:type="dxa"/>
            <w:tcBorders>
              <w:top w:val="single" w:color="auto" w:sz="4" w:space="0"/>
              <w:left w:val="single" w:color="auto" w:sz="4" w:space="0"/>
              <w:bottom w:val="single" w:color="auto" w:sz="4" w:space="0"/>
              <w:right w:val="single" w:color="auto" w:sz="4" w:space="0"/>
            </w:tcBorders>
            <w:vAlign w:val="center"/>
          </w:tcPr>
          <w:p w14:paraId="632ACE4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112" w:type="dxa"/>
            <w:tcBorders>
              <w:top w:val="single" w:color="auto" w:sz="4" w:space="0"/>
              <w:left w:val="single" w:color="auto" w:sz="4" w:space="0"/>
              <w:bottom w:val="single" w:color="auto" w:sz="4" w:space="0"/>
              <w:right w:val="single" w:color="auto" w:sz="4" w:space="0"/>
            </w:tcBorders>
            <w:shd w:val="clear" w:color="auto" w:fill="auto"/>
            <w:vAlign w:val="center"/>
          </w:tcPr>
          <w:p w14:paraId="06D45CB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初次违法并及时改正</w:t>
            </w:r>
          </w:p>
        </w:tc>
        <w:tc>
          <w:tcPr>
            <w:tcW w:w="2693" w:type="dxa"/>
            <w:tcBorders>
              <w:top w:val="single" w:color="auto" w:sz="4" w:space="0"/>
              <w:left w:val="single" w:color="auto" w:sz="4" w:space="0"/>
              <w:bottom w:val="single" w:color="auto" w:sz="4" w:space="0"/>
              <w:right w:val="single" w:color="auto" w:sz="4" w:space="0"/>
            </w:tcBorders>
            <w:shd w:val="clear" w:color="auto" w:fill="auto"/>
            <w:vAlign w:val="center"/>
          </w:tcPr>
          <w:p w14:paraId="212F385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进出口国家限制进出口的货物，向海关申报时不能提交许可证件，违法货物价值10万元以下。</w:t>
            </w:r>
          </w:p>
          <w:p w14:paraId="7A782DC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应当向海关申报的项目未申报或申报不实，影响海关统计或者单项统计准确性，违法货物价值50万元以下。</w:t>
            </w:r>
          </w:p>
          <w:p w14:paraId="1BBE421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应当向海关申报的项目未申报或申报不实，影响海关监管秩序，违法货物价值10万元以下。</w:t>
            </w:r>
          </w:p>
          <w:p w14:paraId="7F4A5DA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应当向海关申报的项目未申报或申报不实，影响国家许可证件管理，违法货物价值5万元以下。</w:t>
            </w:r>
          </w:p>
          <w:p w14:paraId="74A6401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应当向海关申报的项目未申报或申报不实，影响国家税款征收，漏缴税款1万元以下。</w:t>
            </w:r>
          </w:p>
          <w:p w14:paraId="40BBB93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应当向海关申报的项目未申报或申报不实，影响国家出口退税管理，可能多退税款1万元以下。</w:t>
            </w:r>
          </w:p>
          <w:p w14:paraId="5DDE0DC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依据《海关行政处罚实施条例》第十八条第一款规定处理的违反海关监管规定的行为，违法货物价值50万元以下且没有影响国家有关进出境的禁止性或限制性管理、税款征收、外汇、出口退税管理等。</w:t>
            </w:r>
          </w:p>
          <w:p w14:paraId="4CB9F94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携带超过合理数量的自用物品（非禁止或限制进出境物品）进出境未向海关申报或者申报不实，物品价值5万元以下且当事人属24个月内首次进境或者首次出境。</w:t>
            </w:r>
          </w:p>
          <w:p w14:paraId="084DE03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携带超过规定数量或者规定免申报数额货币进出境，未申报或者申报不实，当事人属24个月内首次进境或者首次出境且携带超量人民币进出境12万元以下、外币出境折合2万美元以下或者携带超过免税申报数额外币进境折合5万元美元以下。</w:t>
            </w:r>
          </w:p>
          <w:p w14:paraId="0E4684E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遗失海关制发的监管单证、手册等凭证，妨碍海关监管的。</w:t>
            </w:r>
          </w:p>
          <w:p w14:paraId="0503729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擅自在保税仓库存放其他货物。</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14:paraId="4C25F6D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《行政处罚法》第三十三条第一款：初次违法且危害后果轻微并及时改正的，可以不予行政处罚。</w:t>
            </w:r>
          </w:p>
        </w:tc>
        <w:tc>
          <w:tcPr>
            <w:tcW w:w="2017" w:type="dxa"/>
            <w:tcBorders>
              <w:top w:val="single" w:color="auto" w:sz="4" w:space="0"/>
              <w:left w:val="single" w:color="auto" w:sz="4" w:space="0"/>
              <w:bottom w:val="single" w:color="auto" w:sz="4" w:space="0"/>
              <w:right w:val="single" w:color="auto" w:sz="4" w:space="0"/>
            </w:tcBorders>
            <w:shd w:val="clear" w:color="auto" w:fill="auto"/>
            <w:vAlign w:val="center"/>
          </w:tcPr>
          <w:p w14:paraId="72CDC7B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bidi="ar-SA"/>
              </w:rPr>
            </w:pPr>
            <w:r>
              <w:rPr>
                <w:rFonts w:hint="eastAsia" w:asciiTheme="minorEastAsia" w:hAnsiTheme="minorEastAsia" w:eastAsiaTheme="minorEastAsia" w:cstheme="minorEastAsia"/>
                <w:spacing w:val="-2"/>
                <w:kern w:val="0"/>
                <w:sz w:val="22"/>
                <w:szCs w:val="20"/>
                <w:lang w:val="en-US" w:eastAsia="zh-CN"/>
              </w:rPr>
              <w:t>苏州海关</w:t>
            </w:r>
          </w:p>
        </w:tc>
      </w:tr>
      <w:tr w14:paraId="5D31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647E1AF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p w14:paraId="445E7B4E">
            <w:pPr>
              <w:widowControl/>
              <w:numPr>
                <w:ilvl w:val="0"/>
                <w:numId w:val="0"/>
              </w:numPr>
              <w:spacing w:line="320" w:lineRule="exact"/>
              <w:ind w:left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1</w:t>
            </w:r>
          </w:p>
        </w:tc>
        <w:tc>
          <w:tcPr>
            <w:tcW w:w="3112" w:type="dxa"/>
            <w:noWrap w:val="0"/>
            <w:vAlign w:val="center"/>
          </w:tcPr>
          <w:p w14:paraId="161BA81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未经消防安全检查擅自投入使用（营业）</w:t>
            </w:r>
          </w:p>
        </w:tc>
        <w:tc>
          <w:tcPr>
            <w:tcW w:w="2693" w:type="dxa"/>
            <w:noWrap w:val="0"/>
            <w:vAlign w:val="center"/>
          </w:tcPr>
          <w:p w14:paraId="11CC253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建筑总面积300平方米以下的公众聚集场所违法行为被发现后主动停止投入使用、营业的。</w:t>
            </w:r>
          </w:p>
        </w:tc>
        <w:tc>
          <w:tcPr>
            <w:tcW w:w="5812" w:type="dxa"/>
            <w:noWrap w:val="0"/>
            <w:vAlign w:val="center"/>
          </w:tcPr>
          <w:p w14:paraId="3FBF1E8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《中华人民共和国消防法》第五十八条第一款第四项:</w:t>
            </w:r>
          </w:p>
          <w:p w14:paraId="34A75CA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违反本法规定，有下列行为之一的，由住房和城乡建设主管部门、消防救援机构按照各自职权责令停止施工、停止使用或者停产停业，并处三万元以上三十万元以下罚款：</w:t>
            </w:r>
          </w:p>
          <w:p w14:paraId="2F49038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（四）公众聚集场所未经消防救援机构许可，擅自投入使用、</w:t>
            </w:r>
          </w:p>
          <w:p w14:paraId="0C7D904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营业的，或者经核查发现场所使用、营业情况与承诺内容不符的。</w:t>
            </w:r>
          </w:p>
          <w:p w14:paraId="590D72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《中华人民共和国行政处罚法》第三十三条第一款:</w:t>
            </w:r>
          </w:p>
          <w:p w14:paraId="56AC773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tc>
        <w:tc>
          <w:tcPr>
            <w:tcW w:w="2017" w:type="dxa"/>
            <w:noWrap w:val="0"/>
            <w:vAlign w:val="center"/>
          </w:tcPr>
          <w:p w14:paraId="244B3A5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消防救援机构</w:t>
            </w:r>
          </w:p>
          <w:p w14:paraId="2F6D2D5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r>
      <w:tr w14:paraId="3BFF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C4C7C6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2</w:t>
            </w:r>
          </w:p>
        </w:tc>
        <w:tc>
          <w:tcPr>
            <w:tcW w:w="3112" w:type="dxa"/>
            <w:noWrap w:val="0"/>
            <w:vAlign w:val="center"/>
          </w:tcPr>
          <w:p w14:paraId="00560B0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消防安全检查不合格擅自投入使用（营业）</w:t>
            </w:r>
          </w:p>
        </w:tc>
        <w:tc>
          <w:tcPr>
            <w:tcW w:w="2693" w:type="dxa"/>
            <w:noWrap w:val="0"/>
            <w:vAlign w:val="center"/>
          </w:tcPr>
          <w:p w14:paraId="2D63CA5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建筑总面积300平方米以下的公众聚集场所违法行为被发现后主动停止投入使用、营业的。</w:t>
            </w:r>
          </w:p>
        </w:tc>
        <w:tc>
          <w:tcPr>
            <w:tcW w:w="5812" w:type="dxa"/>
            <w:noWrap w:val="0"/>
            <w:vAlign w:val="center"/>
          </w:tcPr>
          <w:p w14:paraId="012B71C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《中华人民共和国消防法》第五十八条第一款第四项:</w:t>
            </w:r>
          </w:p>
          <w:p w14:paraId="195DC4B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违反本法规定，有下列行为之一的，由住房和城乡建设主管部门、消防救援机构按照各自职权责令停止施工、停止使用或者停产停业，并处三万元以上三十万元以下罚款：</w:t>
            </w:r>
          </w:p>
          <w:p w14:paraId="28CA113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（四）公众聚集场所未经消防救援机构许可，擅自投入使用、</w:t>
            </w:r>
          </w:p>
          <w:p w14:paraId="252AC96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营业的，或者经核查发现场所使用、营业情况与承诺内容不符的。</w:t>
            </w:r>
          </w:p>
          <w:p w14:paraId="541BE31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《中华人民共和国行政处罚法》第三十三条第一款:</w:t>
            </w:r>
          </w:p>
          <w:p w14:paraId="172C2B7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tc>
        <w:tc>
          <w:tcPr>
            <w:tcW w:w="2017" w:type="dxa"/>
            <w:noWrap w:val="0"/>
            <w:vAlign w:val="center"/>
          </w:tcPr>
          <w:p w14:paraId="5838708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消防救援机构</w:t>
            </w:r>
          </w:p>
          <w:p w14:paraId="36A0BBF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r>
      <w:tr w14:paraId="7064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5DAEB89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3</w:t>
            </w:r>
          </w:p>
        </w:tc>
        <w:tc>
          <w:tcPr>
            <w:tcW w:w="3112" w:type="dxa"/>
            <w:noWrap w:val="0"/>
            <w:vAlign w:val="center"/>
          </w:tcPr>
          <w:p w14:paraId="150897C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消防设施（消防器材、消防安全标志）配置（设置）不符合标准</w:t>
            </w:r>
          </w:p>
        </w:tc>
        <w:tc>
          <w:tcPr>
            <w:tcW w:w="2693" w:type="dxa"/>
            <w:noWrap w:val="0"/>
            <w:vAlign w:val="center"/>
          </w:tcPr>
          <w:p w14:paraId="0124A39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单位已自行发现并采取措施进行整改，且已落实保证消防安全防范措施的。</w:t>
            </w:r>
          </w:p>
        </w:tc>
        <w:tc>
          <w:tcPr>
            <w:tcW w:w="5812" w:type="dxa"/>
            <w:noWrap w:val="0"/>
            <w:vAlign w:val="center"/>
          </w:tcPr>
          <w:p w14:paraId="1D614A4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《中华人民共和国消防法》第六十条第一款第一项:</w:t>
            </w:r>
          </w:p>
          <w:p w14:paraId="1914C40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单位违反本法规定，有下列行为之一的，责令改正，处五千元以上五万元以下罚款：</w:t>
            </w:r>
          </w:p>
          <w:p w14:paraId="1280103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（一）消防设施、器材或者消防安全标志的配置、设置不符</w:t>
            </w:r>
          </w:p>
          <w:p w14:paraId="4FAECA6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合国家标准、行业标准，或者未保持完好有效的。</w:t>
            </w:r>
          </w:p>
          <w:p w14:paraId="4F119BB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《中华人民共和国行政处罚法》第三十三条第一款：</w:t>
            </w:r>
          </w:p>
          <w:p w14:paraId="5652B5D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tc>
        <w:tc>
          <w:tcPr>
            <w:tcW w:w="2017" w:type="dxa"/>
            <w:noWrap w:val="0"/>
            <w:vAlign w:val="center"/>
          </w:tcPr>
          <w:p w14:paraId="0F23D51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消防救援机构</w:t>
            </w:r>
          </w:p>
        </w:tc>
      </w:tr>
      <w:tr w14:paraId="20FCB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329B0D8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4</w:t>
            </w:r>
          </w:p>
        </w:tc>
        <w:tc>
          <w:tcPr>
            <w:tcW w:w="3112" w:type="dxa"/>
            <w:noWrap w:val="0"/>
            <w:vAlign w:val="center"/>
          </w:tcPr>
          <w:p w14:paraId="218B2DE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消防设施（消防器材、消防安全标志）未保持完好有效</w:t>
            </w:r>
          </w:p>
        </w:tc>
        <w:tc>
          <w:tcPr>
            <w:tcW w:w="2693" w:type="dxa"/>
            <w:noWrap w:val="0"/>
            <w:vAlign w:val="center"/>
          </w:tcPr>
          <w:p w14:paraId="04F5FC0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单位已自行发现并采取措施进行整改，且已落实保证消防安全防范措施的。</w:t>
            </w:r>
          </w:p>
        </w:tc>
        <w:tc>
          <w:tcPr>
            <w:tcW w:w="5812" w:type="dxa"/>
            <w:noWrap w:val="0"/>
            <w:vAlign w:val="center"/>
          </w:tcPr>
          <w:p w14:paraId="4C2EAF1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《中华人民共和国消防法》第六十条第一款第一项:</w:t>
            </w:r>
          </w:p>
          <w:p w14:paraId="321D9CE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单位违反本法规定，有下列行为之一的，责令改正，处五千元以上五万元以下罚款：</w:t>
            </w:r>
          </w:p>
          <w:p w14:paraId="56CD677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（一）消防设施、器材或者消防安全标志的配置、设置不符</w:t>
            </w:r>
          </w:p>
          <w:p w14:paraId="26DAA5B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合国家标准、行业标准，或者未保持完好有效的。</w:t>
            </w:r>
          </w:p>
          <w:p w14:paraId="468F850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《中华人民共和国行政处罚法》第三十三条第一款：</w:t>
            </w:r>
          </w:p>
          <w:p w14:paraId="38C7943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tc>
        <w:tc>
          <w:tcPr>
            <w:tcW w:w="2017" w:type="dxa"/>
            <w:noWrap w:val="0"/>
            <w:vAlign w:val="center"/>
          </w:tcPr>
          <w:p w14:paraId="407E20C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消防救援机构</w:t>
            </w:r>
          </w:p>
          <w:p w14:paraId="0340B5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r>
      <w:tr w14:paraId="2421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272CE02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5</w:t>
            </w:r>
          </w:p>
        </w:tc>
        <w:tc>
          <w:tcPr>
            <w:tcW w:w="3112" w:type="dxa"/>
            <w:noWrap w:val="0"/>
            <w:vAlign w:val="center"/>
          </w:tcPr>
          <w:p w14:paraId="47F402A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损坏（挪用）消防设施（消防器材）</w:t>
            </w:r>
          </w:p>
        </w:tc>
        <w:tc>
          <w:tcPr>
            <w:tcW w:w="2693" w:type="dxa"/>
            <w:noWrap w:val="0"/>
            <w:vAlign w:val="center"/>
          </w:tcPr>
          <w:p w14:paraId="620B373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当场改正恢复原样且完好有效的。</w:t>
            </w:r>
          </w:p>
        </w:tc>
        <w:tc>
          <w:tcPr>
            <w:tcW w:w="5812" w:type="dxa"/>
            <w:noWrap w:val="0"/>
            <w:vAlign w:val="center"/>
          </w:tcPr>
          <w:p w14:paraId="52A3345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《中华人民共和国消防法》第六十条第一款第二项:</w:t>
            </w:r>
          </w:p>
          <w:p w14:paraId="3B5F773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单位违反本法规定，有下列行为之一的，责令改正，处五千元以上五万元以下罚款：</w:t>
            </w:r>
          </w:p>
          <w:p w14:paraId="1CCD032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（二）损坏、挪用或者擅自拆除、停用消防设施、器材的。</w:t>
            </w:r>
          </w:p>
          <w:p w14:paraId="1B38296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《中华人民共和国行政处罚法》第三十三条第一款：</w:t>
            </w:r>
          </w:p>
          <w:p w14:paraId="3EDD099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tc>
        <w:tc>
          <w:tcPr>
            <w:tcW w:w="2017" w:type="dxa"/>
            <w:noWrap w:val="0"/>
            <w:vAlign w:val="center"/>
          </w:tcPr>
          <w:p w14:paraId="1C5DF01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消防救援机构</w:t>
            </w:r>
          </w:p>
        </w:tc>
      </w:tr>
      <w:tr w14:paraId="1EE2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D578AB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6</w:t>
            </w:r>
          </w:p>
        </w:tc>
        <w:tc>
          <w:tcPr>
            <w:tcW w:w="3112" w:type="dxa"/>
            <w:noWrap w:val="0"/>
            <w:vAlign w:val="center"/>
          </w:tcPr>
          <w:p w14:paraId="4EEFBB2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占用（堵塞、封闭）疏散通道（安全出口）</w:t>
            </w:r>
          </w:p>
        </w:tc>
        <w:tc>
          <w:tcPr>
            <w:tcW w:w="2693" w:type="dxa"/>
            <w:noWrap w:val="0"/>
            <w:vAlign w:val="center"/>
          </w:tcPr>
          <w:p w14:paraId="68F5CDA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占用、堵塞、封闭的疏散通道、安全出口，情节轻微，当场改正的。</w:t>
            </w:r>
          </w:p>
        </w:tc>
        <w:tc>
          <w:tcPr>
            <w:tcW w:w="5812" w:type="dxa"/>
            <w:noWrap w:val="0"/>
            <w:vAlign w:val="center"/>
          </w:tcPr>
          <w:p w14:paraId="1B07EE1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《中华人民共和国消防法》第六十条第一款第三项:</w:t>
            </w:r>
          </w:p>
          <w:p w14:paraId="49058BC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单位违反本法规定，有下列行为之一的，责令改正，处五千元以上五万元以下罚款：</w:t>
            </w:r>
          </w:p>
          <w:p w14:paraId="027C064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（三）占用、堵塞、封闭疏散通道、安全出口或者有其他妨</w:t>
            </w:r>
          </w:p>
          <w:p w14:paraId="3149064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碍安全疏散行为的。</w:t>
            </w:r>
          </w:p>
          <w:p w14:paraId="7EB7C36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《中华人民共和国行政处罚法》第三十三条第一款：</w:t>
            </w:r>
          </w:p>
          <w:p w14:paraId="00A0DD3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tc>
        <w:tc>
          <w:tcPr>
            <w:tcW w:w="2017" w:type="dxa"/>
            <w:noWrap w:val="0"/>
            <w:vAlign w:val="center"/>
          </w:tcPr>
          <w:p w14:paraId="564CF5C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消防救援机构</w:t>
            </w:r>
          </w:p>
          <w:p w14:paraId="2346588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r>
      <w:tr w14:paraId="7757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32" w:type="dxa"/>
            <w:noWrap w:val="0"/>
            <w:vAlign w:val="center"/>
          </w:tcPr>
          <w:p w14:paraId="20D097A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7</w:t>
            </w:r>
          </w:p>
        </w:tc>
        <w:tc>
          <w:tcPr>
            <w:tcW w:w="3112" w:type="dxa"/>
            <w:noWrap w:val="0"/>
            <w:vAlign w:val="center"/>
          </w:tcPr>
          <w:p w14:paraId="3EE739E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埋压（圈占、遮挡）消火栓</w:t>
            </w:r>
          </w:p>
        </w:tc>
        <w:tc>
          <w:tcPr>
            <w:tcW w:w="2693" w:type="dxa"/>
            <w:noWrap w:val="0"/>
            <w:vAlign w:val="center"/>
          </w:tcPr>
          <w:p w14:paraId="16A0449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埋压、圈占、遮挡消火栓，情节轻微，当场改正的。</w:t>
            </w:r>
          </w:p>
        </w:tc>
        <w:tc>
          <w:tcPr>
            <w:tcW w:w="5812" w:type="dxa"/>
            <w:noWrap w:val="0"/>
            <w:vAlign w:val="center"/>
          </w:tcPr>
          <w:p w14:paraId="23AAD83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《中华人民共和国消防法》第六十条第一款第四项:</w:t>
            </w:r>
          </w:p>
          <w:p w14:paraId="65205BF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单位违反本法规定，有下列行为之一的，责令改正，处五千元以上五万元以下罚款：</w:t>
            </w:r>
          </w:p>
          <w:p w14:paraId="7AFC31C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（四）埋压、圈占、遮挡消火栓或者占用防火间距的。</w:t>
            </w:r>
          </w:p>
          <w:p w14:paraId="6B312FF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《中华人民共和国行政处罚法》第三十三条第一款：</w:t>
            </w:r>
          </w:p>
          <w:p w14:paraId="08985DA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tc>
        <w:tc>
          <w:tcPr>
            <w:tcW w:w="2017" w:type="dxa"/>
            <w:noWrap w:val="0"/>
            <w:vAlign w:val="center"/>
          </w:tcPr>
          <w:p w14:paraId="7814496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消防救援机构</w:t>
            </w:r>
          </w:p>
          <w:p w14:paraId="59B1EDE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r>
      <w:tr w14:paraId="13818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7226C64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8</w:t>
            </w:r>
          </w:p>
        </w:tc>
        <w:tc>
          <w:tcPr>
            <w:tcW w:w="3112" w:type="dxa"/>
            <w:noWrap w:val="0"/>
            <w:vAlign w:val="center"/>
          </w:tcPr>
          <w:p w14:paraId="387E0A6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占用防火间距</w:t>
            </w:r>
          </w:p>
        </w:tc>
        <w:tc>
          <w:tcPr>
            <w:tcW w:w="2693" w:type="dxa"/>
            <w:noWrap w:val="0"/>
            <w:vAlign w:val="center"/>
          </w:tcPr>
          <w:p w14:paraId="52C59BC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使用非固定的建（构）筑物或者设施占用防火间距，当场改正的。</w:t>
            </w:r>
          </w:p>
        </w:tc>
        <w:tc>
          <w:tcPr>
            <w:tcW w:w="5812" w:type="dxa"/>
            <w:noWrap w:val="0"/>
            <w:vAlign w:val="center"/>
          </w:tcPr>
          <w:p w14:paraId="4A82E1B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《中华人民共和国消防法》第六十条第一款第四项:</w:t>
            </w:r>
          </w:p>
          <w:p w14:paraId="722189B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单位违反本法规定，有下列行为之一的，责令改正，处五千元以上五万元以下罚款：</w:t>
            </w:r>
          </w:p>
          <w:p w14:paraId="0988383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（四）埋压、圈占、遮挡消火栓或者占用防火间距的。</w:t>
            </w:r>
          </w:p>
          <w:p w14:paraId="573EE7E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《中华人民共和国行政处罚法》第三十三条第一款：</w:t>
            </w:r>
          </w:p>
          <w:p w14:paraId="38CB229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tc>
        <w:tc>
          <w:tcPr>
            <w:tcW w:w="2017" w:type="dxa"/>
            <w:noWrap w:val="0"/>
            <w:vAlign w:val="center"/>
          </w:tcPr>
          <w:p w14:paraId="15B1370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消防救援机构</w:t>
            </w:r>
          </w:p>
          <w:p w14:paraId="075E6A9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r>
      <w:tr w14:paraId="42A5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432" w:type="dxa"/>
            <w:noWrap w:val="0"/>
            <w:vAlign w:val="center"/>
          </w:tcPr>
          <w:p w14:paraId="03341D9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9</w:t>
            </w:r>
          </w:p>
        </w:tc>
        <w:tc>
          <w:tcPr>
            <w:tcW w:w="3112" w:type="dxa"/>
            <w:noWrap w:val="0"/>
            <w:vAlign w:val="center"/>
          </w:tcPr>
          <w:p w14:paraId="2B02734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占用（堵塞、封闭）消防车通道</w:t>
            </w:r>
          </w:p>
        </w:tc>
        <w:tc>
          <w:tcPr>
            <w:tcW w:w="2693" w:type="dxa"/>
            <w:noWrap w:val="0"/>
            <w:vAlign w:val="center"/>
          </w:tcPr>
          <w:p w14:paraId="367EAA6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占用、堵塞、封闭消防车通道，情节轻微，当场改正的。</w:t>
            </w:r>
          </w:p>
        </w:tc>
        <w:tc>
          <w:tcPr>
            <w:tcW w:w="5812" w:type="dxa"/>
            <w:noWrap w:val="0"/>
            <w:vAlign w:val="center"/>
          </w:tcPr>
          <w:p w14:paraId="2A68E16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《中华人民共和国消防法》第六十条第一款第五项:</w:t>
            </w:r>
          </w:p>
          <w:p w14:paraId="28DF5BE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单位违反本法规定，有下列行为之一的，责令改正，处五千元以上五万元以下罚款：</w:t>
            </w:r>
          </w:p>
          <w:p w14:paraId="27A4826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（五）占用、堵塞、封闭消防车通道，妨碍消防车通行的。</w:t>
            </w:r>
          </w:p>
          <w:p w14:paraId="6DF7C70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《中华人民共和国行政处罚法》第三十三条第一款：</w:t>
            </w:r>
          </w:p>
          <w:p w14:paraId="775067E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违法行为轻微并及时改正，没有造成危害后果的，不予行政处罚。初次违法且危害后果轻微并及时改正的，可以不予行政处罚。</w:t>
            </w:r>
          </w:p>
        </w:tc>
        <w:tc>
          <w:tcPr>
            <w:tcW w:w="2017" w:type="dxa"/>
            <w:noWrap w:val="0"/>
            <w:vAlign w:val="center"/>
          </w:tcPr>
          <w:p w14:paraId="303BE3A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消防救援机构</w:t>
            </w:r>
          </w:p>
          <w:p w14:paraId="59E185D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r>
    </w:tbl>
    <w:p w14:paraId="43017CB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531B25E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4DC401B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14CF305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5ADE85D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7C8F17B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107405D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680679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elvetica">
    <w:altName w:val="Latha"/>
    <w:panose1 w:val="020B0604020202020204"/>
    <w:charset w:val="00"/>
    <w:family w:val="swiss"/>
    <w:pitch w:val="default"/>
    <w:sig w:usb0="00000000" w:usb1="00000000" w:usb2="00000009" w:usb3="00000000" w:csb0="000001FF" w:csb1="00000000"/>
  </w:font>
  <w:font w:name="Latha">
    <w:panose1 w:val="020B0604020202020204"/>
    <w:charset w:val="00"/>
    <w:family w:val="auto"/>
    <w:pitch w:val="default"/>
    <w:sig w:usb0="001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1E65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1A97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41A97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7F838"/>
    <w:multiLevelType w:val="singleLevel"/>
    <w:tmpl w:val="9237F838"/>
    <w:lvl w:ilvl="0" w:tentative="0">
      <w:start w:val="1"/>
      <w:numFmt w:val="decimal"/>
      <w:lvlText w:val="%1."/>
      <w:lvlJc w:val="left"/>
      <w:pPr>
        <w:tabs>
          <w:tab w:val="left" w:pos="312"/>
        </w:tabs>
      </w:pPr>
    </w:lvl>
  </w:abstractNum>
  <w:abstractNum w:abstractNumId="1">
    <w:nsid w:val="66971CE5"/>
    <w:multiLevelType w:val="singleLevel"/>
    <w:tmpl w:val="66971CE5"/>
    <w:lvl w:ilvl="0" w:tentative="0">
      <w:start w:val="1"/>
      <w:numFmt w:val="decimal"/>
      <w:lvlText w:val="%1"/>
      <w:lvlJc w:val="left"/>
      <w:pPr>
        <w:tabs>
          <w:tab w:val="left" w:pos="420"/>
        </w:tabs>
        <w:ind w:left="425" w:leftChars="0" w:hanging="425"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A35A4D"/>
    <w:rsid w:val="03CC3E4F"/>
    <w:rsid w:val="0DB317B6"/>
    <w:rsid w:val="11F1104F"/>
    <w:rsid w:val="13674830"/>
    <w:rsid w:val="14D815EB"/>
    <w:rsid w:val="1C422BD3"/>
    <w:rsid w:val="1CAF73EF"/>
    <w:rsid w:val="2A830194"/>
    <w:rsid w:val="2C7B043E"/>
    <w:rsid w:val="33F9642F"/>
    <w:rsid w:val="35D61BDE"/>
    <w:rsid w:val="366D602C"/>
    <w:rsid w:val="3AB900AC"/>
    <w:rsid w:val="43A35A4D"/>
    <w:rsid w:val="466D1FB3"/>
    <w:rsid w:val="48A64365"/>
    <w:rsid w:val="49833B9B"/>
    <w:rsid w:val="566439B7"/>
    <w:rsid w:val="5AE15FE6"/>
    <w:rsid w:val="60995EA1"/>
    <w:rsid w:val="638D537F"/>
    <w:rsid w:val="647D61E0"/>
    <w:rsid w:val="69501123"/>
    <w:rsid w:val="6D6249F3"/>
    <w:rsid w:val="6E1C735F"/>
    <w:rsid w:val="6F881820"/>
    <w:rsid w:val="70AB21CE"/>
    <w:rsid w:val="712B5773"/>
    <w:rsid w:val="73667E4A"/>
    <w:rsid w:val="75902F9A"/>
    <w:rsid w:val="76496F34"/>
    <w:rsid w:val="76E93C59"/>
    <w:rsid w:val="77F53FBA"/>
    <w:rsid w:val="7C72188D"/>
    <w:rsid w:val="7CCA3477"/>
    <w:rsid w:val="7CE01C7B"/>
    <w:rsid w:val="7F1A5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Indent"/>
    <w:basedOn w:val="1"/>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nhideWhenUsed/>
    <w:qFormat/>
    <w:uiPriority w:val="0"/>
    <w:pPr>
      <w:spacing w:before="100" w:beforeAutospacing="1" w:after="100" w:afterAutospacing="1"/>
      <w:jc w:val="left"/>
    </w:pPr>
    <w:rPr>
      <w:rFonts w:ascii="Times New Roman" w:hAnsi="Times New Roman"/>
      <w:kern w:val="0"/>
      <w:sz w:val="24"/>
    </w:rPr>
  </w:style>
  <w:style w:type="paragraph" w:styleId="9">
    <w:name w:val="Body Text First Indent 2"/>
    <w:basedOn w:val="5"/>
    <w:next w:val="1"/>
    <w:unhideWhenUsed/>
    <w:qFormat/>
    <w:uiPriority w:val="99"/>
    <w:pPr>
      <w:ind w:firstLine="420" w:firstLineChars="200"/>
    </w:pPr>
    <w:rPr>
      <w:rFonts w:ascii="Calibri" w:hAnsi="Calibri"/>
      <w:szCs w:val="24"/>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TOC1"/>
    <w:basedOn w:val="1"/>
    <w:next w:val="1"/>
    <w:qFormat/>
    <w:uiPriority w:val="0"/>
  </w:style>
  <w:style w:type="paragraph" w:customStyle="1" w:styleId="14">
    <w:name w:val="Table Paragraph"/>
    <w:basedOn w:val="1"/>
    <w:qFormat/>
    <w:uiPriority w:val="99"/>
    <w:pPr>
      <w:suppressAutoHyphens/>
    </w:pPr>
    <w:rPr>
      <w:rFonts w:ascii="Calibri" w:hAnsi="Calibri" w:eastAsia="宋体" w:cs="Times New Roman"/>
    </w:rPr>
  </w:style>
  <w:style w:type="character" w:customStyle="1" w:styleId="15">
    <w:name w:val="font101"/>
    <w:basedOn w:val="12"/>
    <w:qFormat/>
    <w:uiPriority w:val="0"/>
    <w:rPr>
      <w:rFonts w:hint="eastAsia" w:ascii="方正仿宋_GBK" w:hAnsi="方正仿宋_GBK" w:eastAsia="方正仿宋_GBK" w:cs="方正仿宋_GBK"/>
      <w:color w:val="000000"/>
      <w:sz w:val="20"/>
      <w:szCs w:val="20"/>
      <w:u w:val="none"/>
    </w:rPr>
  </w:style>
  <w:style w:type="paragraph" w:customStyle="1" w:styleId="16">
    <w:name w:val="标题1"/>
    <w:basedOn w:val="1"/>
    <w:next w:val="1"/>
    <w:qFormat/>
    <w:uiPriority w:val="0"/>
    <w:pPr>
      <w:tabs>
        <w:tab w:val="left" w:pos="9193"/>
        <w:tab w:val="left" w:pos="9827"/>
      </w:tabs>
      <w:autoSpaceDE w:val="0"/>
      <w:autoSpaceDN w:val="0"/>
      <w:spacing w:line="760" w:lineRule="atLeast"/>
      <w:ind w:firstLine="0" w:firstLineChars="0"/>
      <w:jc w:val="center"/>
    </w:pPr>
    <w:rPr>
      <w:rFonts w:ascii="方正小标宋_GBK" w:eastAsia="方正小标宋_GBK"/>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201</Pages>
  <Words>14168</Words>
  <Characters>14298</Characters>
  <Lines>0</Lines>
  <Paragraphs>0</Paragraphs>
  <TotalTime>2</TotalTime>
  <ScaleCrop>false</ScaleCrop>
  <LinksUpToDate>false</LinksUpToDate>
  <CharactersWithSpaces>14404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2025-09-05T08:00:00Z</dcterms:created>
  <dc:creator>林爷</dc:creator>
  <cp:lastModifiedBy>林爷</cp:lastModifiedBy>
  <dcterms:modified xsi:type="dcterms:W3CDTF">2025-09-26T06:43:57Z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71D8421F8051405D9C199318150C7EFE_13</vt:lpwstr>
  </property>
  <property fmtid="{D5CDD505-2E9C-101B-9397-08002B2CF9AE}" pid="4" name="KSOTemplateDocerSaveRecord">
    <vt:lpwstr>eyJoZGlkIjoiNDkwZGE2ZjY4N2NkZTVmYmNkMzJjZWUwYWJmZjkzNzciLCJ1c2VySWQiOiIzNzIyMTYzOTYifQ==</vt:lpwstr>
  </property>
</Properties>
</file>